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emf" ContentType="image/x-em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B8C7A3">
      <w:pPr>
        <w:ind w:left="0"/>
        <w:rPr>
          <w:rFonts w:cs="黑体"/>
          <w:kern w:val="0"/>
          <w:sz w:val="52"/>
          <w:szCs w:val="52"/>
        </w:rPr>
      </w:pPr>
      <w:r>
        <w:rPr>
          <w:rFonts w:hint="eastAsia" w:cs="黑体"/>
          <w:kern w:val="0"/>
          <w:sz w:val="52"/>
          <w:szCs w:val="52"/>
        </w:rPr>
        <w:t xml:space="preserve">                    </w:t>
      </w:r>
      <w:r>
        <w:rPr>
          <w:rFonts w:cs="黑体"/>
          <w:kern w:val="0"/>
          <w:sz w:val="52"/>
          <w:szCs w:val="52"/>
        </w:rPr>
        <w:drawing>
          <wp:inline distT="0" distB="0" distL="0" distR="0">
            <wp:extent cx="1206500" cy="508000"/>
            <wp:effectExtent l="0" t="0" r="0" b="0"/>
            <wp:docPr id="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1206500" cy="508000"/>
                    </a:xfrm>
                    <a:prstGeom prst="rect">
                      <a:avLst/>
                    </a:prstGeom>
                    <a:noFill/>
                    <a:ln>
                      <a:noFill/>
                    </a:ln>
                  </pic:spPr>
                </pic:pic>
              </a:graphicData>
            </a:graphic>
          </wp:inline>
        </w:drawing>
      </w:r>
      <w:r>
        <w:rPr>
          <w:rFonts w:hint="eastAsia" w:cs="黑体"/>
          <w:kern w:val="0"/>
          <w:sz w:val="84"/>
          <w:szCs w:val="84"/>
        </w:rPr>
        <w:t>（皖）</w:t>
      </w:r>
    </w:p>
    <w:p w14:paraId="0ACF9623">
      <w:pPr>
        <w:jc w:val="center"/>
        <w:rPr>
          <w:sz w:val="52"/>
          <w:szCs w:val="52"/>
        </w:rPr>
      </w:pPr>
      <w:r>
        <w:rPr>
          <w:rFonts w:hint="eastAsia"/>
          <w:sz w:val="52"/>
          <w:szCs w:val="52"/>
        </w:rPr>
        <w:t>安 徽 省 地 方 计 量 技 术 规 范</w:t>
      </w:r>
    </w:p>
    <w:p w14:paraId="58BF6FBD">
      <w:pPr>
        <w:pBdr>
          <w:bottom w:val="single" w:color="auto" w:sz="6" w:space="1"/>
        </w:pBdr>
        <w:ind w:right="560"/>
        <w:rPr>
          <w:sz w:val="28"/>
          <w:szCs w:val="28"/>
        </w:rPr>
      </w:pPr>
      <w:r>
        <w:rPr>
          <w:rFonts w:hint="eastAsia"/>
          <w:sz w:val="28"/>
          <w:szCs w:val="28"/>
        </w:rPr>
        <w:t xml:space="preserve">                                </w:t>
      </w:r>
      <w:bookmarkStart w:id="0" w:name="OLE_LINK9"/>
      <w:r>
        <w:rPr>
          <w:rFonts w:hint="eastAsia" w:cs="黑体"/>
          <w:kern w:val="0"/>
          <w:sz w:val="28"/>
          <w:szCs w:val="28"/>
        </w:rPr>
        <w:t>JJF（皖）××××</w:t>
      </w:r>
      <w:r>
        <w:rPr>
          <w:rFonts w:hint="eastAsia"/>
          <w:kern w:val="0"/>
          <w:sz w:val="28"/>
          <w:szCs w:val="28"/>
        </w:rPr>
        <w:t>—</w:t>
      </w:r>
      <w:r>
        <w:rPr>
          <w:rFonts w:hint="eastAsia" w:cs="黑体"/>
          <w:kern w:val="0"/>
          <w:sz w:val="28"/>
          <w:szCs w:val="28"/>
        </w:rPr>
        <w:t>202×</w:t>
      </w:r>
      <w:bookmarkEnd w:id="0"/>
    </w:p>
    <w:p w14:paraId="432E9A40">
      <w:pPr>
        <w:jc w:val="right"/>
        <w:rPr>
          <w:sz w:val="28"/>
          <w:szCs w:val="28"/>
        </w:rPr>
      </w:pPr>
    </w:p>
    <w:p w14:paraId="6DE05500">
      <w:pPr>
        <w:tabs>
          <w:tab w:val="left" w:pos="6480"/>
        </w:tabs>
        <w:rPr>
          <w:sz w:val="28"/>
          <w:szCs w:val="28"/>
        </w:rPr>
      </w:pPr>
      <w:r>
        <w:rPr>
          <w:sz w:val="28"/>
          <w:szCs w:val="28"/>
        </w:rPr>
        <w:tab/>
      </w:r>
    </w:p>
    <w:p w14:paraId="5229D357">
      <w:pPr>
        <w:jc w:val="center"/>
        <w:rPr>
          <w:sz w:val="52"/>
          <w:szCs w:val="52"/>
        </w:rPr>
      </w:pPr>
      <w:bookmarkStart w:id="1" w:name="OLE_LINK1"/>
      <w:bookmarkStart w:id="2" w:name="OLE_LINK2"/>
      <w:bookmarkStart w:id="3" w:name="OLE_LINK10"/>
      <w:r>
        <w:rPr>
          <w:rFonts w:hint="eastAsia"/>
          <w:sz w:val="52"/>
          <w:szCs w:val="52"/>
        </w:rPr>
        <w:t>称重物料罐</w:t>
      </w:r>
      <w:bookmarkEnd w:id="1"/>
      <w:bookmarkEnd w:id="2"/>
      <w:r>
        <w:rPr>
          <w:rFonts w:hint="eastAsia"/>
          <w:sz w:val="52"/>
          <w:szCs w:val="52"/>
        </w:rPr>
        <w:t>校准规范</w:t>
      </w:r>
    </w:p>
    <w:bookmarkEnd w:id="3"/>
    <w:p w14:paraId="299D91A4">
      <w:pPr>
        <w:jc w:val="center"/>
      </w:pPr>
      <w:r>
        <w:rPr>
          <w:b/>
          <w:bCs/>
          <w:sz w:val="28"/>
          <w:szCs w:val="28"/>
        </w:rPr>
        <w:t>Calibration Specification for</w:t>
      </w:r>
      <w:r>
        <w:rPr>
          <w:rFonts w:hint="eastAsia"/>
          <w:b/>
          <w:bCs/>
          <w:sz w:val="28"/>
          <w:szCs w:val="28"/>
        </w:rPr>
        <w:t xml:space="preserve"> </w:t>
      </w:r>
      <w:r>
        <w:rPr>
          <w:b/>
          <w:bCs/>
          <w:sz w:val="28"/>
          <w:szCs w:val="28"/>
        </w:rPr>
        <w:t>Weighing Material Tanks</w:t>
      </w:r>
      <w:r>
        <w:rPr>
          <w:rFonts w:hint="eastAsia"/>
          <w:b/>
          <w:bCs/>
          <w:sz w:val="28"/>
          <w:szCs w:val="28"/>
        </w:rPr>
        <w:t xml:space="preserve"> </w:t>
      </w:r>
    </w:p>
    <w:p w14:paraId="1CE8FCAC"/>
    <w:p w14:paraId="31321FE3">
      <w:pPr>
        <w:jc w:val="center"/>
      </w:pPr>
      <w:r>
        <w:rPr>
          <w:rFonts w:hint="eastAsia"/>
        </w:rPr>
        <w:t>（报批稿）</w:t>
      </w:r>
    </w:p>
    <w:p w14:paraId="6AFE134A">
      <w:pPr>
        <w:rPr>
          <w:b/>
        </w:rPr>
      </w:pPr>
    </w:p>
    <w:p w14:paraId="3036F731"/>
    <w:p w14:paraId="47B5EFA3"/>
    <w:p w14:paraId="29B71C14"/>
    <w:p w14:paraId="70BCF943"/>
    <w:p w14:paraId="1CB382EB"/>
    <w:p w14:paraId="2DB2235A"/>
    <w:p w14:paraId="2602ED18">
      <w:r>
        <w:rPr>
          <w:rFonts w:hint="eastAsia"/>
        </w:rPr>
        <w:t xml:space="preserve"> </w:t>
      </w:r>
    </w:p>
    <w:p w14:paraId="594E6A70">
      <w:r>
        <w:rPr>
          <w:rFonts w:hint="eastAsia"/>
        </w:rPr>
        <w:t>.</w:t>
      </w:r>
    </w:p>
    <w:p w14:paraId="305637C9">
      <w:pPr>
        <w:pStyle w:val="19"/>
        <w:spacing w:before="0" w:after="0"/>
        <w:jc w:val="left"/>
        <w:rPr>
          <w:rFonts w:ascii="Times New Roman" w:hAnsi="Times New Roman"/>
        </w:rPr>
      </w:pPr>
    </w:p>
    <w:p w14:paraId="76A6DF7A"/>
    <w:p w14:paraId="7AD833C4"/>
    <w:p w14:paraId="5346EE7F"/>
    <w:p w14:paraId="6338678F"/>
    <w:p w14:paraId="05E9C899"/>
    <w:p w14:paraId="74C13B6B"/>
    <w:p w14:paraId="34116DA9"/>
    <w:p w14:paraId="1BA8B48E">
      <w:pPr>
        <w:autoSpaceDE w:val="0"/>
        <w:autoSpaceDN w:val="0"/>
        <w:adjustRightInd w:val="0"/>
        <w:ind w:firstLine="420" w:firstLineChars="150"/>
        <w:rPr>
          <w:rFonts w:cs="黑体"/>
          <w:kern w:val="0"/>
          <w:sz w:val="28"/>
          <w:szCs w:val="28"/>
        </w:rPr>
      </w:pPr>
      <w:r>
        <w:rPr>
          <w:rFonts w:hint="eastAsia" w:cs="黑体"/>
          <w:kern w:val="0"/>
          <w:sz w:val="28"/>
          <w:szCs w:val="28"/>
        </w:rPr>
        <w:t>××××-××-××发布                 ××××-××-××实施</w:t>
      </w:r>
    </w:p>
    <w:p w14:paraId="32235BFE">
      <w:pPr>
        <w:pBdr>
          <w:bottom w:val="single" w:color="auto" w:sz="6" w:space="1"/>
        </w:pBdr>
      </w:pPr>
    </w:p>
    <w:p w14:paraId="118CDFCA">
      <w:pPr>
        <w:jc w:val="center"/>
      </w:pPr>
      <w:r>
        <w:rPr>
          <w:rFonts w:hint="eastAsia"/>
          <w:sz w:val="44"/>
          <w:szCs w:val="44"/>
        </w:rPr>
        <w:t>安 徽 省 市 场 监 督 管 理 局</w:t>
      </w:r>
      <w:r>
        <w:rPr>
          <w:rFonts w:hint="eastAsia"/>
        </w:rPr>
        <w:t xml:space="preserve">  </w:t>
      </w:r>
      <w:r>
        <w:rPr>
          <w:rStyle w:val="36"/>
          <w:rFonts w:hint="eastAsia" w:ascii="Times New Roman" w:hAnsi="Times New Roman" w:eastAsia="宋体"/>
        </w:rPr>
        <w:t>发 布</w:t>
      </w:r>
      <w:r>
        <w:rPr>
          <w:rFonts w:hint="eastAsia"/>
        </w:rPr>
        <w:t xml:space="preserve"> </w:t>
      </w:r>
    </w:p>
    <w:p w14:paraId="64720AEB">
      <w:pPr>
        <w:pBdr>
          <w:bottom w:val="single" w:color="auto" w:sz="6" w:space="1"/>
        </w:pBdr>
        <w:jc w:val="center"/>
        <w:sectPr>
          <w:headerReference r:id="rId3" w:type="default"/>
          <w:footerReference r:id="rId4" w:type="default"/>
          <w:pgSz w:w="11906" w:h="16838"/>
          <w:pgMar w:top="1440" w:right="1134" w:bottom="1440" w:left="1134" w:header="851" w:footer="992" w:gutter="0"/>
          <w:cols w:space="720" w:num="1"/>
          <w:docGrid w:type="linesAndChars" w:linePitch="312" w:charSpace="0"/>
        </w:sectPr>
      </w:pPr>
    </w:p>
    <w:p w14:paraId="0619BE9A">
      <w:pPr>
        <w:jc w:val="center"/>
        <w:rPr>
          <w:sz w:val="48"/>
          <w:szCs w:val="48"/>
        </w:rPr>
      </w:pPr>
      <w:r>
        <w:rPr>
          <w:sz w:val="28"/>
          <w:szCs w:val="28"/>
        </w:rPr>
        <mc:AlternateContent>
          <mc:Choice Requires="wps">
            <w:drawing>
              <wp:anchor distT="0" distB="0" distL="114300" distR="114300" simplePos="0" relativeHeight="251661312" behindDoc="0" locked="0" layoutInCell="1" allowOverlap="1">
                <wp:simplePos x="0" y="0"/>
                <wp:positionH relativeFrom="column">
                  <wp:posOffset>168910</wp:posOffset>
                </wp:positionH>
                <wp:positionV relativeFrom="paragraph">
                  <wp:posOffset>337185</wp:posOffset>
                </wp:positionV>
                <wp:extent cx="3305175" cy="1628140"/>
                <wp:effectExtent l="0" t="0" r="0" b="0"/>
                <wp:wrapNone/>
                <wp:docPr id="1589513180" name="文本框 2"/>
                <wp:cNvGraphicFramePr/>
                <a:graphic xmlns:a="http://schemas.openxmlformats.org/drawingml/2006/main">
                  <a:graphicData uri="http://schemas.microsoft.com/office/word/2010/wordprocessingShape">
                    <wps:wsp>
                      <wps:cNvSpPr txBox="1">
                        <a:spLocks noChangeArrowheads="1"/>
                      </wps:cNvSpPr>
                      <wps:spPr bwMode="auto">
                        <a:xfrm>
                          <a:off x="0" y="0"/>
                          <a:ext cx="3305175" cy="1628140"/>
                        </a:xfrm>
                        <a:prstGeom prst="rect">
                          <a:avLst/>
                        </a:prstGeom>
                        <a:noFill/>
                        <a:ln>
                          <a:noFill/>
                        </a:ln>
                      </wps:spPr>
                      <wps:txbx>
                        <w:txbxContent>
                          <w:p w14:paraId="32569E34">
                            <w:pPr>
                              <w:jc w:val="center"/>
                              <w:rPr>
                                <w:rFonts w:hint="eastAsia" w:ascii="黑体" w:hAnsi="华文细黑" w:eastAsia="黑体"/>
                                <w:sz w:val="44"/>
                                <w:szCs w:val="44"/>
                              </w:rPr>
                            </w:pPr>
                            <w:r>
                              <w:rPr>
                                <w:rFonts w:hint="eastAsia" w:ascii="黑体" w:hAnsi="华文细黑" w:eastAsia="黑体"/>
                                <w:sz w:val="44"/>
                                <w:szCs w:val="44"/>
                              </w:rPr>
                              <w:t>称重物料罐校准规范</w:t>
                            </w:r>
                          </w:p>
                          <w:p w14:paraId="3FFFFC45">
                            <w:pPr>
                              <w:jc w:val="center"/>
                              <w:rPr>
                                <w:rFonts w:ascii="黑体" w:eastAsia="黑体"/>
                                <w:b/>
                                <w:bCs/>
                                <w:sz w:val="28"/>
                                <w:szCs w:val="28"/>
                              </w:rPr>
                            </w:pPr>
                            <w:r>
                              <w:rPr>
                                <w:rFonts w:ascii="黑体" w:eastAsia="黑体"/>
                                <w:b/>
                                <w:bCs/>
                                <w:sz w:val="28"/>
                                <w:szCs w:val="28"/>
                              </w:rPr>
                              <w:t>Calibration Specification for Weighing</w:t>
                            </w:r>
                            <w:r>
                              <w:rPr>
                                <w:rFonts w:hint="eastAsia" w:ascii="黑体" w:eastAsia="黑体"/>
                                <w:b/>
                                <w:bCs/>
                                <w:sz w:val="28"/>
                                <w:szCs w:val="28"/>
                              </w:rPr>
                              <w:t xml:space="preserve"> </w:t>
                            </w:r>
                            <w:r>
                              <w:rPr>
                                <w:rFonts w:ascii="黑体" w:eastAsia="黑体"/>
                                <w:b/>
                                <w:bCs/>
                                <w:sz w:val="28"/>
                                <w:szCs w:val="28"/>
                              </w:rPr>
                              <w:t>Material Tanks</w:t>
                            </w:r>
                            <w:r>
                              <w:rPr>
                                <w:rFonts w:hint="eastAsia" w:ascii="黑体" w:eastAsia="黑体"/>
                                <w:b/>
                                <w:bCs/>
                                <w:sz w:val="28"/>
                                <w:szCs w:val="28"/>
                              </w:rPr>
                              <w:t xml:space="preserve"> </w:t>
                            </w:r>
                          </w:p>
                          <w:p w14:paraId="5A7DB290">
                            <w:pPr>
                              <w:jc w:val="center"/>
                              <w:rPr>
                                <w:rFonts w:ascii="黑体" w:eastAsia="黑体"/>
                                <w:b/>
                                <w:bCs/>
                                <w:sz w:val="28"/>
                                <w:szCs w:val="28"/>
                              </w:rPr>
                            </w:pPr>
                          </w:p>
                        </w:txbxContent>
                      </wps:txbx>
                      <wps:bodyPr rot="0" vert="horz" wrap="square" lIns="91440" tIns="45720" rIns="91440" bIns="45720" anchor="t" anchorCtr="0" upright="1">
                        <a:noAutofit/>
                      </wps:bodyPr>
                    </wps:wsp>
                  </a:graphicData>
                </a:graphic>
              </wp:anchor>
            </w:drawing>
          </mc:Choice>
          <mc:Fallback>
            <w:pict>
              <v:shape id="文本框 2" o:spid="_x0000_s1026" o:spt="202" type="#_x0000_t202" style="position:absolute;left:0pt;margin-left:13.3pt;margin-top:26.55pt;height:128.2pt;width:260.25pt;z-index:251661312;mso-width-relative:page;mso-height-relative:page;" filled="f" stroked="f" coordsize="21600,21600" o:gfxdata="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">
                <v:fill on="f" focussize="0,0"/>
                <v:stroke on="f"/>
                <v:imagedata o:title=""/>
                <o:lock v:ext="edit" aspectratio="f"/>
                <v:textbox>
                  <w:txbxContent>
                    <w:p w14:paraId="32569E34">
                      <w:pPr>
                        <w:jc w:val="center"/>
                        <w:rPr>
                          <w:rFonts w:hint="eastAsia" w:ascii="黑体" w:hAnsi="华文细黑" w:eastAsia="黑体"/>
                          <w:sz w:val="44"/>
                          <w:szCs w:val="44"/>
                        </w:rPr>
                      </w:pPr>
                      <w:r>
                        <w:rPr>
                          <w:rFonts w:hint="eastAsia" w:ascii="黑体" w:hAnsi="华文细黑" w:eastAsia="黑体"/>
                          <w:sz w:val="44"/>
                          <w:szCs w:val="44"/>
                        </w:rPr>
                        <w:t>称重物料罐校准规范</w:t>
                      </w:r>
                    </w:p>
                    <w:p w14:paraId="3FFFFC45">
                      <w:pPr>
                        <w:jc w:val="center"/>
                        <w:rPr>
                          <w:rFonts w:ascii="黑体" w:eastAsia="黑体"/>
                          <w:b/>
                          <w:bCs/>
                          <w:sz w:val="28"/>
                          <w:szCs w:val="28"/>
                        </w:rPr>
                      </w:pPr>
                      <w:r>
                        <w:rPr>
                          <w:rFonts w:ascii="黑体" w:eastAsia="黑体"/>
                          <w:b/>
                          <w:bCs/>
                          <w:sz w:val="28"/>
                          <w:szCs w:val="28"/>
                        </w:rPr>
                        <w:t>Calibration Specification for Weighing</w:t>
                      </w:r>
                      <w:r>
                        <w:rPr>
                          <w:rFonts w:hint="eastAsia" w:ascii="黑体" w:eastAsia="黑体"/>
                          <w:b/>
                          <w:bCs/>
                          <w:sz w:val="28"/>
                          <w:szCs w:val="28"/>
                        </w:rPr>
                        <w:t xml:space="preserve"> </w:t>
                      </w:r>
                      <w:r>
                        <w:rPr>
                          <w:rFonts w:ascii="黑体" w:eastAsia="黑体"/>
                          <w:b/>
                          <w:bCs/>
                          <w:sz w:val="28"/>
                          <w:szCs w:val="28"/>
                        </w:rPr>
                        <w:t>Material Tanks</w:t>
                      </w:r>
                      <w:r>
                        <w:rPr>
                          <w:rFonts w:hint="eastAsia" w:ascii="黑体" w:eastAsia="黑体"/>
                          <w:b/>
                          <w:bCs/>
                          <w:sz w:val="28"/>
                          <w:szCs w:val="28"/>
                        </w:rPr>
                        <w:t xml:space="preserve"> </w:t>
                      </w:r>
                    </w:p>
                    <w:p w14:paraId="5A7DB290">
                      <w:pPr>
                        <w:jc w:val="center"/>
                        <w:rPr>
                          <w:rFonts w:ascii="黑体" w:eastAsia="黑体"/>
                          <w:b/>
                          <w:bCs/>
                          <w:sz w:val="28"/>
                          <w:szCs w:val="28"/>
                        </w:rPr>
                      </w:pPr>
                    </w:p>
                  </w:txbxContent>
                </v:textbox>
              </v:shape>
            </w:pict>
          </mc:Fallback>
        </mc:AlternateContent>
      </w:r>
      <w:r>
        <w:rPr>
          <w:sz w:val="44"/>
          <w:szCs w:val="44"/>
        </w:rPr>
        <mc:AlternateContent>
          <mc:Choice Requires="wps">
            <w:drawing>
              <wp:anchor distT="0" distB="0" distL="114300" distR="114300" simplePos="0" relativeHeight="251660288" behindDoc="0" locked="0" layoutInCell="1" allowOverlap="1">
                <wp:simplePos x="0" y="0"/>
                <wp:positionH relativeFrom="column">
                  <wp:posOffset>3518535</wp:posOffset>
                </wp:positionH>
                <wp:positionV relativeFrom="paragraph">
                  <wp:posOffset>374015</wp:posOffset>
                </wp:positionV>
                <wp:extent cx="2486025" cy="1188720"/>
                <wp:effectExtent l="0" t="0" r="9525" b="0"/>
                <wp:wrapNone/>
                <wp:docPr id="4" name="文本框 3"/>
                <wp:cNvGraphicFramePr/>
                <a:graphic xmlns:a="http://schemas.openxmlformats.org/drawingml/2006/main">
                  <a:graphicData uri="http://schemas.microsoft.com/office/word/2010/wordprocessingShape">
                    <wps:wsp>
                      <wps:cNvSpPr txBox="1">
                        <a:spLocks noChangeArrowheads="1"/>
                      </wps:cNvSpPr>
                      <wps:spPr bwMode="auto">
                        <a:xfrm>
                          <a:off x="0" y="0"/>
                          <a:ext cx="2486025" cy="1188720"/>
                        </a:xfrm>
                        <a:prstGeom prst="rect">
                          <a:avLst/>
                        </a:prstGeom>
                        <a:solidFill>
                          <a:srgbClr val="FFFFFF"/>
                        </a:solidFill>
                        <a:ln w="9525">
                          <a:solidFill>
                            <a:srgbClr val="000000"/>
                          </a:solidFill>
                          <a:miter lim="800000"/>
                        </a:ln>
                      </wps:spPr>
                      <wps:txbx>
                        <w:txbxContent>
                          <w:p w14:paraId="3E28121E">
                            <w:pPr>
                              <w:rPr>
                                <w:sz w:val="28"/>
                                <w:szCs w:val="28"/>
                              </w:rPr>
                            </w:pPr>
                          </w:p>
                          <w:p w14:paraId="224BF027">
                            <w:pPr>
                              <w:jc w:val="center"/>
                              <w:rPr>
                                <w:rFonts w:ascii="黑体" w:eastAsia="黑体"/>
                              </w:rPr>
                            </w:pPr>
                            <w:r>
                              <w:rPr>
                                <w:rFonts w:hint="eastAsia" w:ascii="黑体" w:eastAsia="黑体" w:cs="黑体"/>
                                <w:kern w:val="0"/>
                                <w:sz w:val="28"/>
                                <w:szCs w:val="28"/>
                              </w:rPr>
                              <w:t>JJF（皖）××××</w:t>
                            </w:r>
                            <w:r>
                              <w:rPr>
                                <w:rFonts w:hint="eastAsia" w:ascii="黑体" w:hAnsi="宋体" w:eastAsia="黑体" w:cs="黑体"/>
                                <w:kern w:val="0"/>
                                <w:sz w:val="28"/>
                                <w:szCs w:val="28"/>
                              </w:rPr>
                              <w:t>─202</w:t>
                            </w:r>
                            <w:r>
                              <w:rPr>
                                <w:rFonts w:hint="eastAsia" w:ascii="黑体" w:eastAsia="黑体" w:cs="黑体"/>
                                <w:kern w:val="0"/>
                                <w:sz w:val="28"/>
                                <w:szCs w:val="28"/>
                              </w:rPr>
                              <w:t>×</w:t>
                            </w:r>
                          </w:p>
                        </w:txbxContent>
                      </wps:txbx>
                      <wps:bodyPr rot="0" vert="horz" wrap="square" lIns="91440" tIns="45720" rIns="91440" bIns="45720" anchor="t" anchorCtr="0" upright="1">
                        <a:noAutofit/>
                      </wps:bodyPr>
                    </wps:wsp>
                  </a:graphicData>
                </a:graphic>
              </wp:anchor>
            </w:drawing>
          </mc:Choice>
          <mc:Fallback>
            <w:pict>
              <v:shape id="文本框 3" o:spid="_x0000_s1026" o:spt="202" type="#_x0000_t202" style="position:absolute;left:0pt;margin-left:277.05pt;margin-top:29.45pt;height:93.6pt;width:195.75pt;z-index:251660288;mso-width-relative:page;mso-height-relative:page;" fillcolor="#FFFFFF" filled="t" stroked="t" coordsize="21600,21600" o:gfxdata="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">
                <v:fill on="t" focussize="0,0"/>
                <v:stroke color="#000000" miterlimit="8" joinstyle="miter"/>
                <v:imagedata o:title=""/>
                <o:lock v:ext="edit" aspectratio="f"/>
                <v:textbox>
                  <w:txbxContent>
                    <w:p w14:paraId="3E28121E">
                      <w:pPr>
                        <w:rPr>
                          <w:sz w:val="28"/>
                          <w:szCs w:val="28"/>
                        </w:rPr>
                      </w:pPr>
                    </w:p>
                    <w:p w14:paraId="224BF027">
                      <w:pPr>
                        <w:jc w:val="center"/>
                        <w:rPr>
                          <w:rFonts w:ascii="黑体" w:eastAsia="黑体"/>
                        </w:rPr>
                      </w:pPr>
                      <w:r>
                        <w:rPr>
                          <w:rFonts w:hint="eastAsia" w:ascii="黑体" w:eastAsia="黑体" w:cs="黑体"/>
                          <w:kern w:val="0"/>
                          <w:sz w:val="28"/>
                          <w:szCs w:val="28"/>
                        </w:rPr>
                        <w:t>JJF（皖）××××</w:t>
                      </w:r>
                      <w:r>
                        <w:rPr>
                          <w:rFonts w:hint="eastAsia" w:ascii="黑体" w:hAnsi="宋体" w:eastAsia="黑体" w:cs="黑体"/>
                          <w:kern w:val="0"/>
                          <w:sz w:val="28"/>
                          <w:szCs w:val="28"/>
                        </w:rPr>
                        <w:t>─202</w:t>
                      </w:r>
                      <w:r>
                        <w:rPr>
                          <w:rFonts w:hint="eastAsia" w:ascii="黑体" w:eastAsia="黑体" w:cs="黑体"/>
                          <w:kern w:val="0"/>
                          <w:sz w:val="28"/>
                          <w:szCs w:val="28"/>
                        </w:rPr>
                        <w:t>×</w:t>
                      </w:r>
                    </w:p>
                  </w:txbxContent>
                </v:textbox>
              </v:shape>
            </w:pict>
          </mc:Fallback>
        </mc:AlternateContent>
      </w:r>
    </w:p>
    <w:p w14:paraId="24B1DCA2">
      <w:pPr>
        <w:ind w:firstLine="717" w:firstLineChars="163"/>
        <w:rPr>
          <w:sz w:val="44"/>
          <w:szCs w:val="44"/>
        </w:rPr>
      </w:pPr>
    </w:p>
    <w:p w14:paraId="5669FFA7">
      <w:pPr>
        <w:ind w:firstLine="1120" w:firstLineChars="400"/>
        <w:rPr>
          <w:sz w:val="28"/>
          <w:szCs w:val="28"/>
        </w:rPr>
      </w:pPr>
    </w:p>
    <w:p w14:paraId="3B818A7A">
      <w:pPr>
        <w:ind w:firstLine="980" w:firstLineChars="350"/>
        <w:rPr>
          <w:sz w:val="28"/>
          <w:szCs w:val="28"/>
        </w:rPr>
      </w:pPr>
    </w:p>
    <w:p w14:paraId="73AA37DE">
      <w:pPr>
        <w:pBdr>
          <w:bottom w:val="single" w:color="auto" w:sz="6" w:space="1"/>
        </w:pBdr>
        <w:jc w:val="center"/>
        <w:rPr>
          <w:sz w:val="28"/>
          <w:szCs w:val="28"/>
        </w:rPr>
      </w:pPr>
    </w:p>
    <w:p w14:paraId="642E3FC6">
      <w:pPr>
        <w:ind w:firstLine="560" w:firstLineChars="200"/>
        <w:rPr>
          <w:rFonts w:cs="黑体"/>
          <w:kern w:val="0"/>
          <w:sz w:val="28"/>
          <w:szCs w:val="28"/>
        </w:rPr>
      </w:pPr>
    </w:p>
    <w:p w14:paraId="5D518025">
      <w:pPr>
        <w:ind w:firstLine="560" w:firstLineChars="200"/>
        <w:rPr>
          <w:sz w:val="28"/>
          <w:szCs w:val="28"/>
        </w:rPr>
      </w:pPr>
    </w:p>
    <w:p w14:paraId="1AADF6E4">
      <w:pPr>
        <w:ind w:firstLine="560" w:firstLineChars="200"/>
        <w:rPr>
          <w:sz w:val="28"/>
          <w:szCs w:val="28"/>
        </w:rPr>
      </w:pPr>
    </w:p>
    <w:p w14:paraId="1EE54E70">
      <w:pPr>
        <w:pStyle w:val="19"/>
        <w:spacing w:before="0" w:after="0"/>
        <w:jc w:val="both"/>
        <w:rPr>
          <w:rFonts w:ascii="Times New Roman" w:hAnsi="Times New Roman"/>
        </w:rPr>
      </w:pPr>
      <w:r>
        <w:rPr>
          <w:rFonts w:hint="eastAsia" w:ascii="Times New Roman" w:hAnsi="Times New Roman"/>
        </w:rPr>
        <w:t xml:space="preserve">   </w:t>
      </w:r>
    </w:p>
    <w:p w14:paraId="5DFEEEB6">
      <w:pPr>
        <w:ind w:firstLine="560" w:firstLineChars="200"/>
        <w:rPr>
          <w:sz w:val="28"/>
          <w:szCs w:val="28"/>
        </w:rPr>
      </w:pPr>
    </w:p>
    <w:p w14:paraId="181895A9">
      <w:pPr>
        <w:ind w:firstLine="560" w:firstLineChars="200"/>
        <w:rPr>
          <w:sz w:val="28"/>
          <w:szCs w:val="28"/>
        </w:rPr>
      </w:pPr>
    </w:p>
    <w:p w14:paraId="02322A32">
      <w:pPr>
        <w:ind w:left="0" w:firstLine="140" w:firstLineChars="50"/>
        <w:jc w:val="center"/>
        <w:rPr>
          <w:sz w:val="28"/>
          <w:szCs w:val="28"/>
        </w:rPr>
      </w:pPr>
      <w:r>
        <w:rPr>
          <w:rFonts w:hint="eastAsia"/>
          <w:sz w:val="28"/>
          <w:szCs w:val="28"/>
        </w:rPr>
        <w:t xml:space="preserve">    归 口 单 位 ：安徽省衡器计量技术委员会</w:t>
      </w:r>
    </w:p>
    <w:p w14:paraId="598983AC">
      <w:pPr>
        <w:ind w:left="0" w:firstLine="140" w:firstLineChars="50"/>
        <w:jc w:val="center"/>
        <w:rPr>
          <w:sz w:val="28"/>
          <w:szCs w:val="28"/>
        </w:rPr>
      </w:pPr>
      <w:r>
        <w:rPr>
          <w:rFonts w:hint="eastAsia"/>
          <w:sz w:val="28"/>
          <w:szCs w:val="28"/>
        </w:rPr>
        <w:t>主要起草单位：安徽省计量科学研究院</w:t>
      </w:r>
    </w:p>
    <w:p w14:paraId="707087DA">
      <w:pPr>
        <w:ind w:left="0" w:firstLine="140" w:firstLineChars="50"/>
        <w:jc w:val="center"/>
        <w:rPr>
          <w:rFonts w:hint="eastAsia" w:cs="宋体"/>
          <w:kern w:val="0"/>
          <w:sz w:val="28"/>
          <w:szCs w:val="28"/>
          <w:lang w:val="en-US" w:eastAsia="zh-CN"/>
        </w:rPr>
      </w:pPr>
      <w:r>
        <w:rPr>
          <w:rFonts w:hint="eastAsia" w:cs="宋体"/>
          <w:kern w:val="0"/>
          <w:sz w:val="28"/>
          <w:szCs w:val="28"/>
        </w:rPr>
        <w:t xml:space="preserve">             合肥市计量测试</w:t>
      </w:r>
      <w:r>
        <w:rPr>
          <w:rFonts w:hint="eastAsia" w:cs="宋体"/>
          <w:kern w:val="0"/>
          <w:sz w:val="28"/>
          <w:szCs w:val="28"/>
          <w:lang w:val="en-US" w:eastAsia="zh-CN"/>
        </w:rPr>
        <w:t>中心</w:t>
      </w:r>
    </w:p>
    <w:p w14:paraId="4759083F">
      <w:pPr>
        <w:ind w:left="0" w:firstLine="140" w:firstLineChars="50"/>
        <w:jc w:val="center"/>
        <w:rPr>
          <w:rFonts w:hint="eastAsia" w:eastAsia="宋体"/>
          <w:sz w:val="28"/>
          <w:szCs w:val="28"/>
          <w:lang w:val="en-US" w:eastAsia="zh-CN"/>
        </w:rPr>
      </w:pPr>
      <w:r>
        <w:rPr>
          <w:rFonts w:hint="eastAsia"/>
          <w:color w:val="000000"/>
          <w:sz w:val="28"/>
          <w:szCs w:val="28"/>
        </w:rPr>
        <w:t xml:space="preserve">                  </w:t>
      </w:r>
      <w:r>
        <w:rPr>
          <w:rFonts w:hint="eastAsia"/>
          <w:color w:val="000000"/>
          <w:sz w:val="28"/>
          <w:szCs w:val="28"/>
          <w:lang w:val="en-US" w:eastAsia="zh-CN"/>
        </w:rPr>
        <w:t xml:space="preserve">        </w:t>
      </w:r>
      <w:r>
        <w:rPr>
          <w:rFonts w:hint="eastAsia"/>
          <w:sz w:val="28"/>
          <w:szCs w:val="28"/>
        </w:rPr>
        <w:t>上海市计量测试技术研究院</w:t>
      </w:r>
      <w:r>
        <w:rPr>
          <w:rFonts w:hint="eastAsia"/>
          <w:sz w:val="28"/>
          <w:szCs w:val="28"/>
          <w:lang w:val="en-US" w:eastAsia="zh-CN"/>
        </w:rPr>
        <w:t>有限公司</w:t>
      </w:r>
    </w:p>
    <w:p w14:paraId="3D9E217E">
      <w:pPr>
        <w:ind w:left="0" w:firstLine="140" w:firstLineChars="50"/>
        <w:jc w:val="center"/>
        <w:rPr>
          <w:sz w:val="28"/>
          <w:szCs w:val="28"/>
        </w:rPr>
      </w:pPr>
      <w:r>
        <w:rPr>
          <w:rFonts w:hint="eastAsia"/>
          <w:sz w:val="28"/>
          <w:szCs w:val="28"/>
        </w:rPr>
        <w:t xml:space="preserve">   </w:t>
      </w:r>
    </w:p>
    <w:p w14:paraId="7677B8FC">
      <w:pPr>
        <w:pStyle w:val="19"/>
        <w:rPr>
          <w:rFonts w:ascii="Times New Roman" w:hAnsi="Times New Roman"/>
        </w:rPr>
      </w:pPr>
    </w:p>
    <w:p w14:paraId="6A00900F">
      <w:pPr>
        <w:pStyle w:val="19"/>
        <w:rPr>
          <w:rFonts w:ascii="Times New Roman" w:hAnsi="Times New Roman"/>
        </w:rPr>
      </w:pPr>
    </w:p>
    <w:p w14:paraId="32A37AAC">
      <w:pPr>
        <w:pStyle w:val="19"/>
        <w:rPr>
          <w:rFonts w:ascii="Times New Roman" w:hAnsi="Times New Roman"/>
        </w:rPr>
      </w:pPr>
    </w:p>
    <w:p w14:paraId="44A5EF8D">
      <w:pPr>
        <w:jc w:val="center"/>
        <w:rPr>
          <w:sz w:val="28"/>
          <w:szCs w:val="28"/>
        </w:rPr>
        <w:sectPr>
          <w:headerReference r:id="rId5" w:type="default"/>
          <w:pgSz w:w="11906" w:h="16838"/>
          <w:pgMar w:top="1440" w:right="1134" w:bottom="1440" w:left="1134" w:header="851" w:footer="992" w:gutter="0"/>
          <w:cols w:space="720" w:num="1"/>
          <w:docGrid w:type="linesAndChars" w:linePitch="312" w:charSpace="0"/>
        </w:sectPr>
      </w:pPr>
      <w:r>
        <w:rPr>
          <w:rFonts w:hint="eastAsia"/>
          <w:sz w:val="28"/>
          <w:szCs w:val="28"/>
        </w:rPr>
        <w:t>本规范委托安徽省衡器计量技术委员会负责解释</w:t>
      </w:r>
    </w:p>
    <w:p w14:paraId="2CE3D09C"/>
    <w:p w14:paraId="3AC6C917">
      <w:pPr>
        <w:rPr>
          <w:b/>
          <w:sz w:val="28"/>
          <w:szCs w:val="28"/>
        </w:rPr>
      </w:pPr>
    </w:p>
    <w:p w14:paraId="771D37B7">
      <w:pPr>
        <w:ind w:firstLine="274" w:firstLineChars="98"/>
        <w:rPr>
          <w:sz w:val="28"/>
          <w:szCs w:val="28"/>
        </w:rPr>
      </w:pPr>
      <w:r>
        <w:rPr>
          <w:rFonts w:hint="eastAsia"/>
          <w:sz w:val="28"/>
          <w:szCs w:val="28"/>
        </w:rPr>
        <w:t xml:space="preserve">本规范起草人： </w:t>
      </w:r>
    </w:p>
    <w:p w14:paraId="36EF68CF">
      <w:pPr>
        <w:ind w:firstLine="1680" w:firstLineChars="600"/>
        <w:rPr>
          <w:sz w:val="28"/>
          <w:szCs w:val="28"/>
        </w:rPr>
      </w:pPr>
      <w:r>
        <w:rPr>
          <w:rFonts w:hint="eastAsia"/>
          <w:sz w:val="28"/>
          <w:szCs w:val="28"/>
        </w:rPr>
        <w:t>高海青（安徽省计量科学研究院）</w:t>
      </w:r>
    </w:p>
    <w:p w14:paraId="19949475">
      <w:pPr>
        <w:ind w:firstLine="1680" w:firstLineChars="600"/>
        <w:rPr>
          <w:sz w:val="28"/>
          <w:szCs w:val="28"/>
        </w:rPr>
      </w:pPr>
      <w:r>
        <w:rPr>
          <w:rFonts w:hint="eastAsia"/>
          <w:sz w:val="28"/>
          <w:szCs w:val="28"/>
        </w:rPr>
        <w:t>冯晓媛（安徽省计量科学研究院）</w:t>
      </w:r>
    </w:p>
    <w:p w14:paraId="74101C60">
      <w:pPr>
        <w:ind w:firstLine="1680" w:firstLineChars="600"/>
        <w:rPr>
          <w:sz w:val="28"/>
          <w:szCs w:val="28"/>
        </w:rPr>
      </w:pPr>
      <w:r>
        <w:rPr>
          <w:rFonts w:hint="eastAsia"/>
          <w:sz w:val="28"/>
          <w:szCs w:val="28"/>
        </w:rPr>
        <w:t>张  辉（合肥市计量测试</w:t>
      </w:r>
      <w:r>
        <w:rPr>
          <w:rFonts w:hint="eastAsia"/>
          <w:sz w:val="28"/>
          <w:szCs w:val="28"/>
          <w:lang w:val="en-US" w:eastAsia="zh-CN"/>
        </w:rPr>
        <w:t>中心</w:t>
      </w:r>
      <w:r>
        <w:rPr>
          <w:rFonts w:hint="eastAsia"/>
          <w:sz w:val="28"/>
          <w:szCs w:val="28"/>
        </w:rPr>
        <w:t>）</w:t>
      </w:r>
    </w:p>
    <w:p w14:paraId="291D80D8">
      <w:pPr>
        <w:ind w:firstLine="1680" w:firstLineChars="600"/>
        <w:rPr>
          <w:sz w:val="28"/>
          <w:szCs w:val="28"/>
        </w:rPr>
      </w:pPr>
      <w:r>
        <w:rPr>
          <w:rFonts w:hint="eastAsia"/>
          <w:sz w:val="28"/>
          <w:szCs w:val="28"/>
        </w:rPr>
        <w:t>熊忠琪（上海市计量测试技术研究院</w:t>
      </w:r>
      <w:r>
        <w:rPr>
          <w:rFonts w:hint="eastAsia"/>
          <w:sz w:val="28"/>
          <w:szCs w:val="28"/>
          <w:lang w:val="en-US" w:eastAsia="zh-CN"/>
        </w:rPr>
        <w:t>有限公司</w:t>
      </w:r>
      <w:r>
        <w:rPr>
          <w:rFonts w:hint="eastAsia"/>
          <w:sz w:val="28"/>
          <w:szCs w:val="28"/>
        </w:rPr>
        <w:t>）</w:t>
      </w:r>
    </w:p>
    <w:p w14:paraId="6BE49C95">
      <w:pPr>
        <w:spacing w:after="80" w:line="360" w:lineRule="auto"/>
        <w:ind w:left="199" w:leftChars="83" w:firstLine="1680" w:firstLineChars="600"/>
        <w:rPr>
          <w:sz w:val="28"/>
          <w:szCs w:val="28"/>
        </w:rPr>
      </w:pPr>
      <w:r>
        <w:rPr>
          <w:rFonts w:hint="eastAsia"/>
          <w:color w:val="000000"/>
          <w:sz w:val="28"/>
          <w:szCs w:val="28"/>
        </w:rPr>
        <w:t>经  蕾</w:t>
      </w:r>
      <w:r>
        <w:rPr>
          <w:color w:val="000000"/>
          <w:sz w:val="28"/>
          <w:szCs w:val="28"/>
        </w:rPr>
        <w:t>（</w:t>
      </w:r>
      <w:r>
        <w:rPr>
          <w:rFonts w:hint="eastAsia"/>
          <w:color w:val="000000"/>
          <w:sz w:val="28"/>
          <w:szCs w:val="28"/>
        </w:rPr>
        <w:t>安徽省长江计量所（九一0所）</w:t>
      </w:r>
      <w:r>
        <w:rPr>
          <w:color w:val="000000"/>
          <w:sz w:val="28"/>
          <w:szCs w:val="28"/>
        </w:rPr>
        <w:t>）</w:t>
      </w:r>
    </w:p>
    <w:p w14:paraId="14A78A5C">
      <w:pPr>
        <w:spacing w:after="80" w:line="360" w:lineRule="auto"/>
        <w:ind w:left="199" w:leftChars="83" w:firstLine="1680" w:firstLineChars="600"/>
        <w:rPr>
          <w:color w:val="000000"/>
          <w:sz w:val="28"/>
          <w:szCs w:val="28"/>
        </w:rPr>
      </w:pPr>
    </w:p>
    <w:p w14:paraId="7A73A21E">
      <w:pPr>
        <w:spacing w:after="80" w:line="360" w:lineRule="auto"/>
        <w:ind w:left="199" w:leftChars="83" w:firstLine="1680" w:firstLineChars="600"/>
        <w:rPr>
          <w:color w:val="000000"/>
          <w:sz w:val="28"/>
          <w:szCs w:val="28"/>
        </w:rPr>
      </w:pPr>
    </w:p>
    <w:p w14:paraId="411F49AA">
      <w:pPr>
        <w:pStyle w:val="19"/>
        <w:rPr>
          <w:rFonts w:ascii="Times New Roman" w:hAnsi="Times New Roman"/>
        </w:rPr>
      </w:pPr>
    </w:p>
    <w:p w14:paraId="6859E6D5">
      <w:pPr>
        <w:pStyle w:val="19"/>
        <w:jc w:val="both"/>
        <w:rPr>
          <w:rFonts w:ascii="Times New Roman" w:hAnsi="Times New Roman"/>
        </w:rPr>
        <w:sectPr>
          <w:pgSz w:w="11906" w:h="16838"/>
          <w:pgMar w:top="1440" w:right="1134" w:bottom="1440" w:left="1134" w:header="851" w:footer="992" w:gutter="0"/>
          <w:cols w:space="720" w:num="1"/>
          <w:docGrid w:type="linesAndChars" w:linePitch="312" w:charSpace="0"/>
        </w:sectPr>
      </w:pPr>
      <w:r>
        <w:rPr>
          <w:rFonts w:hint="eastAsia" w:ascii="Times New Roman" w:hAnsi="Times New Roman"/>
        </w:rPr>
        <w:t xml:space="preserve">    </w:t>
      </w:r>
    </w:p>
    <w:p w14:paraId="5BF95EAE">
      <w:pPr>
        <w:ind w:firstLine="480" w:firstLineChars="200"/>
      </w:pPr>
    </w:p>
    <w:p w14:paraId="08B2293C">
      <w:pPr>
        <w:pStyle w:val="58"/>
        <w:rPr>
          <w:rFonts w:ascii="Times New Roman" w:hAnsi="Times New Roman" w:eastAsia="宋体"/>
          <w:b w:val="0"/>
          <w:sz w:val="44"/>
          <w:szCs w:val="44"/>
        </w:rPr>
      </w:pPr>
      <w:bookmarkStart w:id="4" w:name="_Toc339537048"/>
      <w:bookmarkStart w:id="5" w:name="_Toc26326"/>
      <w:r>
        <w:rPr>
          <w:rFonts w:hint="eastAsia" w:ascii="Times New Roman" w:hAnsi="Times New Roman" w:eastAsia="宋体"/>
          <w:b w:val="0"/>
          <w:sz w:val="44"/>
          <w:szCs w:val="44"/>
        </w:rPr>
        <w:t>目    录</w:t>
      </w:r>
      <w:bookmarkEnd w:id="4"/>
      <w:bookmarkEnd w:id="5"/>
    </w:p>
    <w:p w14:paraId="35E4851D">
      <w:pPr>
        <w:pStyle w:val="16"/>
        <w:tabs>
          <w:tab w:val="right" w:leader="dot" w:pos="9070"/>
        </w:tabs>
      </w:pPr>
      <w:r>
        <w:fldChar w:fldCharType="begin"/>
      </w:r>
      <w:r>
        <w:rPr>
          <w:rStyle w:val="26"/>
          <w:color w:val="auto"/>
        </w:rPr>
        <w:instrText xml:space="preserve"> TOC \o "1-3" \h \z \u </w:instrText>
      </w:r>
      <w:r>
        <w:fldChar w:fldCharType="separate"/>
      </w:r>
      <w:r>
        <w:fldChar w:fldCharType="begin"/>
      </w:r>
      <w:r>
        <w:instrText xml:space="preserve"> HYPERLINK \l "_Toc26326" </w:instrText>
      </w:r>
      <w:r>
        <w:fldChar w:fldCharType="separate"/>
      </w:r>
      <w:r>
        <w:rPr>
          <w:rFonts w:hint="eastAsia"/>
          <w:szCs w:val="44"/>
        </w:rPr>
        <w:t>目    录</w:t>
      </w:r>
      <w:r>
        <w:tab/>
      </w:r>
      <w:r>
        <w:fldChar w:fldCharType="begin"/>
      </w:r>
      <w:r>
        <w:instrText xml:space="preserve"> PAGEREF _Toc26326 \h </w:instrText>
      </w:r>
      <w:r>
        <w:fldChar w:fldCharType="separate"/>
      </w:r>
      <w:r>
        <w:t>4</w:t>
      </w:r>
      <w:r>
        <w:fldChar w:fldCharType="end"/>
      </w:r>
      <w:r>
        <w:fldChar w:fldCharType="end"/>
      </w:r>
    </w:p>
    <w:p w14:paraId="1AD38AB8">
      <w:pPr>
        <w:pStyle w:val="16"/>
        <w:tabs>
          <w:tab w:val="right" w:leader="dot" w:pos="9070"/>
        </w:tabs>
      </w:pPr>
      <w:r>
        <w:fldChar w:fldCharType="begin"/>
      </w:r>
      <w:r>
        <w:instrText xml:space="preserve"> HYPERLINK \l "_Toc24980" </w:instrText>
      </w:r>
      <w:r>
        <w:fldChar w:fldCharType="separate"/>
      </w:r>
      <w:r>
        <w:rPr>
          <w:rFonts w:hint="eastAsia"/>
          <w:szCs w:val="44"/>
        </w:rPr>
        <w:t>引    言</w:t>
      </w:r>
      <w:r>
        <w:tab/>
      </w:r>
      <w:r>
        <w:fldChar w:fldCharType="begin"/>
      </w:r>
      <w:r>
        <w:instrText xml:space="preserve"> PAGEREF _Toc24980 \h </w:instrText>
      </w:r>
      <w:r>
        <w:fldChar w:fldCharType="separate"/>
      </w:r>
      <w:r>
        <w:t>5</w:t>
      </w:r>
      <w:r>
        <w:fldChar w:fldCharType="end"/>
      </w:r>
      <w:r>
        <w:fldChar w:fldCharType="end"/>
      </w:r>
    </w:p>
    <w:p w14:paraId="407D7EE0">
      <w:pPr>
        <w:pStyle w:val="16"/>
        <w:tabs>
          <w:tab w:val="right" w:leader="dot" w:pos="9070"/>
        </w:tabs>
      </w:pPr>
      <w:r>
        <w:fldChar w:fldCharType="begin"/>
      </w:r>
      <w:r>
        <w:instrText xml:space="preserve"> HYPERLINK \l "_Toc24086" </w:instrText>
      </w:r>
      <w:r>
        <w:fldChar w:fldCharType="separate"/>
      </w:r>
      <w:r>
        <w:rPr>
          <w:rFonts w:hint="eastAsia"/>
        </w:rPr>
        <w:t>1 范围</w:t>
      </w:r>
      <w:r>
        <w:tab/>
      </w:r>
      <w:r>
        <w:fldChar w:fldCharType="begin"/>
      </w:r>
      <w:r>
        <w:instrText xml:space="preserve"> PAGEREF _Toc24086 \h </w:instrText>
      </w:r>
      <w:r>
        <w:fldChar w:fldCharType="separate"/>
      </w:r>
      <w:r>
        <w:t>6</w:t>
      </w:r>
      <w:r>
        <w:fldChar w:fldCharType="end"/>
      </w:r>
      <w:r>
        <w:fldChar w:fldCharType="end"/>
      </w:r>
    </w:p>
    <w:p w14:paraId="29791C89">
      <w:pPr>
        <w:pStyle w:val="16"/>
        <w:tabs>
          <w:tab w:val="right" w:leader="dot" w:pos="9070"/>
        </w:tabs>
      </w:pPr>
      <w:r>
        <w:fldChar w:fldCharType="begin"/>
      </w:r>
      <w:r>
        <w:instrText xml:space="preserve"> HYPERLINK \l "_Toc13390" </w:instrText>
      </w:r>
      <w:r>
        <w:fldChar w:fldCharType="separate"/>
      </w:r>
      <w:r>
        <w:rPr>
          <w:rFonts w:hint="eastAsia"/>
        </w:rPr>
        <w:t>2 引用文件</w:t>
      </w:r>
      <w:r>
        <w:tab/>
      </w:r>
      <w:r>
        <w:fldChar w:fldCharType="begin"/>
      </w:r>
      <w:r>
        <w:instrText xml:space="preserve"> PAGEREF _Toc13390 \h </w:instrText>
      </w:r>
      <w:r>
        <w:fldChar w:fldCharType="separate"/>
      </w:r>
      <w:r>
        <w:t>6</w:t>
      </w:r>
      <w:r>
        <w:fldChar w:fldCharType="end"/>
      </w:r>
      <w:r>
        <w:fldChar w:fldCharType="end"/>
      </w:r>
    </w:p>
    <w:p w14:paraId="26488059">
      <w:pPr>
        <w:pStyle w:val="16"/>
        <w:tabs>
          <w:tab w:val="right" w:leader="dot" w:pos="9070"/>
        </w:tabs>
      </w:pPr>
      <w:r>
        <w:fldChar w:fldCharType="begin"/>
      </w:r>
      <w:r>
        <w:instrText xml:space="preserve"> HYPERLINK \l "_Toc22686" </w:instrText>
      </w:r>
      <w:r>
        <w:fldChar w:fldCharType="separate"/>
      </w:r>
      <w:r>
        <w:rPr>
          <w:rFonts w:hint="eastAsia"/>
        </w:rPr>
        <w:t>3 术语和计量单位</w:t>
      </w:r>
      <w:r>
        <w:tab/>
      </w:r>
      <w:r>
        <w:fldChar w:fldCharType="begin"/>
      </w:r>
      <w:r>
        <w:instrText xml:space="preserve"> PAGEREF _Toc22686 \h </w:instrText>
      </w:r>
      <w:r>
        <w:fldChar w:fldCharType="separate"/>
      </w:r>
      <w:r>
        <w:t>6</w:t>
      </w:r>
      <w:r>
        <w:fldChar w:fldCharType="end"/>
      </w:r>
      <w:r>
        <w:fldChar w:fldCharType="end"/>
      </w:r>
    </w:p>
    <w:p w14:paraId="4670A23C">
      <w:pPr>
        <w:pStyle w:val="16"/>
        <w:tabs>
          <w:tab w:val="right" w:leader="dot" w:pos="9070"/>
        </w:tabs>
      </w:pPr>
      <w:r>
        <w:fldChar w:fldCharType="begin"/>
      </w:r>
      <w:r>
        <w:instrText xml:space="preserve"> HYPERLINK \l "_Toc6196" </w:instrText>
      </w:r>
      <w:r>
        <w:fldChar w:fldCharType="separate"/>
      </w:r>
      <w:r>
        <w:rPr>
          <w:rFonts w:hint="eastAsia"/>
        </w:rPr>
        <w:t>3.1 术语</w:t>
      </w:r>
      <w:r>
        <w:tab/>
      </w:r>
      <w:r>
        <w:fldChar w:fldCharType="begin"/>
      </w:r>
      <w:r>
        <w:instrText xml:space="preserve"> PAGEREF _Toc6196 \h </w:instrText>
      </w:r>
      <w:r>
        <w:fldChar w:fldCharType="separate"/>
      </w:r>
      <w:r>
        <w:t>6</w:t>
      </w:r>
      <w:r>
        <w:fldChar w:fldCharType="end"/>
      </w:r>
      <w:r>
        <w:fldChar w:fldCharType="end"/>
      </w:r>
    </w:p>
    <w:p w14:paraId="6A0CB1B5">
      <w:pPr>
        <w:pStyle w:val="16"/>
        <w:tabs>
          <w:tab w:val="right" w:leader="dot" w:pos="9070"/>
        </w:tabs>
      </w:pPr>
      <w:r>
        <w:fldChar w:fldCharType="begin"/>
      </w:r>
      <w:r>
        <w:instrText xml:space="preserve"> HYPERLINK \l "_Toc12184" </w:instrText>
      </w:r>
      <w:r>
        <w:fldChar w:fldCharType="separate"/>
      </w:r>
      <w:r>
        <w:rPr>
          <w:rFonts w:hint="eastAsia"/>
        </w:rPr>
        <w:t>3.2 计量单位</w:t>
      </w:r>
      <w:r>
        <w:tab/>
      </w:r>
      <w:r>
        <w:fldChar w:fldCharType="begin"/>
      </w:r>
      <w:r>
        <w:instrText xml:space="preserve"> PAGEREF _Toc12184 \h </w:instrText>
      </w:r>
      <w:r>
        <w:fldChar w:fldCharType="separate"/>
      </w:r>
      <w:r>
        <w:t>7</w:t>
      </w:r>
      <w:r>
        <w:fldChar w:fldCharType="end"/>
      </w:r>
      <w:r>
        <w:fldChar w:fldCharType="end"/>
      </w:r>
    </w:p>
    <w:p w14:paraId="040A6BC3">
      <w:pPr>
        <w:pStyle w:val="16"/>
        <w:tabs>
          <w:tab w:val="right" w:leader="dot" w:pos="9070"/>
        </w:tabs>
      </w:pPr>
      <w:r>
        <w:fldChar w:fldCharType="begin"/>
      </w:r>
      <w:r>
        <w:instrText xml:space="preserve"> HYPERLINK \l "_Toc5095" </w:instrText>
      </w:r>
      <w:r>
        <w:fldChar w:fldCharType="separate"/>
      </w:r>
      <w:r>
        <w:rPr>
          <w:rFonts w:hint="eastAsia"/>
        </w:rPr>
        <w:t>4 概述</w:t>
      </w:r>
      <w:r>
        <w:tab/>
      </w:r>
      <w:r>
        <w:fldChar w:fldCharType="begin"/>
      </w:r>
      <w:r>
        <w:instrText xml:space="preserve"> PAGEREF _Toc5095 \h </w:instrText>
      </w:r>
      <w:r>
        <w:fldChar w:fldCharType="separate"/>
      </w:r>
      <w:r>
        <w:t>7</w:t>
      </w:r>
      <w:r>
        <w:fldChar w:fldCharType="end"/>
      </w:r>
      <w:r>
        <w:fldChar w:fldCharType="end"/>
      </w:r>
    </w:p>
    <w:p w14:paraId="1ED4C6BF">
      <w:pPr>
        <w:pStyle w:val="16"/>
        <w:tabs>
          <w:tab w:val="right" w:leader="dot" w:pos="9070"/>
        </w:tabs>
      </w:pPr>
      <w:r>
        <w:fldChar w:fldCharType="begin"/>
      </w:r>
      <w:r>
        <w:instrText xml:space="preserve"> HYPERLINK \l "_Toc8372" </w:instrText>
      </w:r>
      <w:r>
        <w:fldChar w:fldCharType="separate"/>
      </w:r>
      <w:r>
        <w:rPr>
          <w:rFonts w:hint="eastAsia"/>
        </w:rPr>
        <w:t>5 计量特性</w:t>
      </w:r>
      <w:r>
        <w:tab/>
      </w:r>
      <w:r>
        <w:fldChar w:fldCharType="begin"/>
      </w:r>
      <w:r>
        <w:instrText xml:space="preserve"> PAGEREF _Toc8372 \h </w:instrText>
      </w:r>
      <w:r>
        <w:fldChar w:fldCharType="separate"/>
      </w:r>
      <w:r>
        <w:t>7</w:t>
      </w:r>
      <w:r>
        <w:fldChar w:fldCharType="end"/>
      </w:r>
      <w:r>
        <w:fldChar w:fldCharType="end"/>
      </w:r>
    </w:p>
    <w:p w14:paraId="63D95BFC">
      <w:pPr>
        <w:pStyle w:val="16"/>
        <w:tabs>
          <w:tab w:val="right" w:leader="dot" w:pos="9070"/>
        </w:tabs>
      </w:pPr>
      <w:r>
        <w:fldChar w:fldCharType="begin"/>
      </w:r>
      <w:r>
        <w:instrText xml:space="preserve"> HYPERLINK \l "_Toc24974" </w:instrText>
      </w:r>
      <w:r>
        <w:fldChar w:fldCharType="separate"/>
      </w:r>
      <w:r>
        <w:rPr>
          <w:rFonts w:hint="eastAsia"/>
        </w:rPr>
        <w:t xml:space="preserve">6 </w:t>
      </w:r>
      <w:r>
        <w:t>校准条件</w:t>
      </w:r>
      <w:r>
        <w:tab/>
      </w:r>
      <w:r>
        <w:fldChar w:fldCharType="begin"/>
      </w:r>
      <w:r>
        <w:instrText xml:space="preserve"> PAGEREF _Toc24974 \h </w:instrText>
      </w:r>
      <w:r>
        <w:fldChar w:fldCharType="separate"/>
      </w:r>
      <w:r>
        <w:t>8</w:t>
      </w:r>
      <w:r>
        <w:fldChar w:fldCharType="end"/>
      </w:r>
      <w:r>
        <w:fldChar w:fldCharType="end"/>
      </w:r>
    </w:p>
    <w:p w14:paraId="24AAC125">
      <w:pPr>
        <w:pStyle w:val="16"/>
        <w:tabs>
          <w:tab w:val="right" w:leader="dot" w:pos="9070"/>
        </w:tabs>
      </w:pPr>
      <w:r>
        <w:fldChar w:fldCharType="begin"/>
      </w:r>
      <w:r>
        <w:instrText xml:space="preserve"> HYPERLINK \l "_Toc27630" </w:instrText>
      </w:r>
      <w:r>
        <w:fldChar w:fldCharType="separate"/>
      </w:r>
      <w:r>
        <w:rPr>
          <w:rFonts w:hint="eastAsia"/>
        </w:rPr>
        <w:t>6</w:t>
      </w:r>
      <w:r>
        <w:t>.</w:t>
      </w:r>
      <w:r>
        <w:rPr>
          <w:rFonts w:hint="eastAsia"/>
        </w:rPr>
        <w:t xml:space="preserve">1 </w:t>
      </w:r>
      <w:r>
        <w:t>环境条件</w:t>
      </w:r>
      <w:r>
        <w:tab/>
      </w:r>
      <w:r>
        <w:fldChar w:fldCharType="begin"/>
      </w:r>
      <w:r>
        <w:instrText xml:space="preserve"> PAGEREF _Toc27630 \h </w:instrText>
      </w:r>
      <w:r>
        <w:fldChar w:fldCharType="separate"/>
      </w:r>
      <w:r>
        <w:t>8</w:t>
      </w:r>
      <w:r>
        <w:fldChar w:fldCharType="end"/>
      </w:r>
      <w:r>
        <w:fldChar w:fldCharType="end"/>
      </w:r>
    </w:p>
    <w:p w14:paraId="45C05FD0">
      <w:pPr>
        <w:pStyle w:val="16"/>
        <w:tabs>
          <w:tab w:val="right" w:leader="dot" w:pos="9070"/>
        </w:tabs>
      </w:pPr>
      <w:r>
        <w:fldChar w:fldCharType="begin"/>
      </w:r>
      <w:r>
        <w:instrText xml:space="preserve"> HYPERLINK \l "_Toc7669" </w:instrText>
      </w:r>
      <w:r>
        <w:fldChar w:fldCharType="separate"/>
      </w:r>
      <w:r>
        <w:rPr>
          <w:rFonts w:hint="eastAsia"/>
        </w:rPr>
        <w:t>6.2 测量标准及其他设备</w:t>
      </w:r>
      <w:r>
        <w:tab/>
      </w:r>
      <w:r>
        <w:fldChar w:fldCharType="begin"/>
      </w:r>
      <w:r>
        <w:instrText xml:space="preserve"> PAGEREF _Toc7669 \h </w:instrText>
      </w:r>
      <w:r>
        <w:fldChar w:fldCharType="separate"/>
      </w:r>
      <w:r>
        <w:t>8</w:t>
      </w:r>
      <w:r>
        <w:fldChar w:fldCharType="end"/>
      </w:r>
      <w:r>
        <w:fldChar w:fldCharType="end"/>
      </w:r>
    </w:p>
    <w:p w14:paraId="00289152">
      <w:pPr>
        <w:pStyle w:val="16"/>
        <w:tabs>
          <w:tab w:val="right" w:leader="dot" w:pos="9070"/>
        </w:tabs>
      </w:pPr>
      <w:r>
        <w:fldChar w:fldCharType="begin"/>
      </w:r>
      <w:r>
        <w:instrText xml:space="preserve"> HYPERLINK \l "_Toc11417" </w:instrText>
      </w:r>
      <w:r>
        <w:fldChar w:fldCharType="separate"/>
      </w:r>
      <w:r>
        <w:rPr>
          <w:rFonts w:hint="eastAsia"/>
        </w:rPr>
        <w:t>7 校准项目和校准方法</w:t>
      </w:r>
      <w:r>
        <w:tab/>
      </w:r>
      <w:r>
        <w:fldChar w:fldCharType="begin"/>
      </w:r>
      <w:r>
        <w:instrText xml:space="preserve"> PAGEREF _Toc11417 \h </w:instrText>
      </w:r>
      <w:r>
        <w:fldChar w:fldCharType="separate"/>
      </w:r>
      <w:r>
        <w:t>8</w:t>
      </w:r>
      <w:r>
        <w:fldChar w:fldCharType="end"/>
      </w:r>
      <w:r>
        <w:fldChar w:fldCharType="end"/>
      </w:r>
    </w:p>
    <w:p w14:paraId="2F5BB9B4">
      <w:pPr>
        <w:pStyle w:val="16"/>
        <w:tabs>
          <w:tab w:val="right" w:leader="dot" w:pos="9070"/>
        </w:tabs>
      </w:pPr>
      <w:r>
        <w:fldChar w:fldCharType="begin"/>
      </w:r>
      <w:r>
        <w:instrText xml:space="preserve"> HYPERLINK \l "_Toc2550" </w:instrText>
      </w:r>
      <w:r>
        <w:fldChar w:fldCharType="separate"/>
      </w:r>
      <w:r>
        <w:rPr>
          <w:rFonts w:hint="eastAsia"/>
        </w:rPr>
        <w:t>7.1校准项目</w:t>
      </w:r>
      <w:r>
        <w:tab/>
      </w:r>
      <w:r>
        <w:fldChar w:fldCharType="begin"/>
      </w:r>
      <w:r>
        <w:instrText xml:space="preserve"> PAGEREF _Toc2550 \h </w:instrText>
      </w:r>
      <w:r>
        <w:fldChar w:fldCharType="separate"/>
      </w:r>
      <w:r>
        <w:t>8</w:t>
      </w:r>
      <w:r>
        <w:fldChar w:fldCharType="end"/>
      </w:r>
      <w:r>
        <w:fldChar w:fldCharType="end"/>
      </w:r>
    </w:p>
    <w:p w14:paraId="6CEFE9BC">
      <w:pPr>
        <w:pStyle w:val="16"/>
        <w:tabs>
          <w:tab w:val="right" w:leader="dot" w:pos="9070"/>
        </w:tabs>
      </w:pPr>
      <w:r>
        <w:fldChar w:fldCharType="begin"/>
      </w:r>
      <w:r>
        <w:instrText xml:space="preserve"> HYPERLINK \l "_Toc12208" </w:instrText>
      </w:r>
      <w:r>
        <w:fldChar w:fldCharType="separate"/>
      </w:r>
      <w:r>
        <w:rPr>
          <w:rFonts w:hint="eastAsia"/>
        </w:rPr>
        <w:t>7.2校准方法</w:t>
      </w:r>
      <w:r>
        <w:tab/>
      </w:r>
      <w:r>
        <w:fldChar w:fldCharType="begin"/>
      </w:r>
      <w:r>
        <w:instrText xml:space="preserve"> PAGEREF _Toc12208 \h </w:instrText>
      </w:r>
      <w:r>
        <w:fldChar w:fldCharType="separate"/>
      </w:r>
      <w:r>
        <w:t>8</w:t>
      </w:r>
      <w:r>
        <w:fldChar w:fldCharType="end"/>
      </w:r>
      <w:r>
        <w:fldChar w:fldCharType="end"/>
      </w:r>
    </w:p>
    <w:p w14:paraId="4AE6B421">
      <w:pPr>
        <w:pStyle w:val="16"/>
        <w:tabs>
          <w:tab w:val="right" w:leader="dot" w:pos="9070"/>
        </w:tabs>
      </w:pPr>
      <w:r>
        <w:fldChar w:fldCharType="begin"/>
      </w:r>
      <w:r>
        <w:instrText xml:space="preserve"> HYPERLINK \l "_Toc14339" </w:instrText>
      </w:r>
      <w:r>
        <w:fldChar w:fldCharType="separate"/>
      </w:r>
      <w:r>
        <w:rPr>
          <w:rFonts w:hint="eastAsia"/>
        </w:rPr>
        <w:t>8 校准结果</w:t>
      </w:r>
      <w:r>
        <w:tab/>
      </w:r>
      <w:r>
        <w:fldChar w:fldCharType="begin"/>
      </w:r>
      <w:r>
        <w:instrText xml:space="preserve"> PAGEREF _Toc14339 \h </w:instrText>
      </w:r>
      <w:r>
        <w:fldChar w:fldCharType="separate"/>
      </w:r>
      <w:r>
        <w:t>12</w:t>
      </w:r>
      <w:r>
        <w:fldChar w:fldCharType="end"/>
      </w:r>
      <w:r>
        <w:fldChar w:fldCharType="end"/>
      </w:r>
    </w:p>
    <w:p w14:paraId="0F991FF2">
      <w:pPr>
        <w:pStyle w:val="16"/>
        <w:tabs>
          <w:tab w:val="right" w:leader="dot" w:pos="9070"/>
        </w:tabs>
      </w:pPr>
      <w:r>
        <w:fldChar w:fldCharType="begin"/>
      </w:r>
      <w:r>
        <w:instrText xml:space="preserve"> HYPERLINK \l "_Toc22968" </w:instrText>
      </w:r>
      <w:r>
        <w:fldChar w:fldCharType="separate"/>
      </w:r>
      <w:r>
        <w:rPr>
          <w:rFonts w:hint="eastAsia"/>
        </w:rPr>
        <w:t>9 复校时间间隔</w:t>
      </w:r>
      <w:r>
        <w:tab/>
      </w:r>
      <w:r>
        <w:fldChar w:fldCharType="begin"/>
      </w:r>
      <w:r>
        <w:instrText xml:space="preserve"> PAGEREF _Toc22968 \h </w:instrText>
      </w:r>
      <w:r>
        <w:fldChar w:fldCharType="separate"/>
      </w:r>
      <w:r>
        <w:t>12</w:t>
      </w:r>
      <w:r>
        <w:fldChar w:fldCharType="end"/>
      </w:r>
      <w:r>
        <w:fldChar w:fldCharType="end"/>
      </w:r>
    </w:p>
    <w:p w14:paraId="2E46ED82">
      <w:pPr>
        <w:pStyle w:val="16"/>
        <w:tabs>
          <w:tab w:val="right" w:leader="dot" w:pos="9070"/>
        </w:tabs>
      </w:pPr>
      <w:r>
        <w:fldChar w:fldCharType="begin"/>
      </w:r>
      <w:r>
        <w:instrText xml:space="preserve"> HYPERLINK \l "_Toc3835" </w:instrText>
      </w:r>
      <w:r>
        <w:fldChar w:fldCharType="separate"/>
      </w:r>
      <w:r>
        <w:rPr>
          <w:rFonts w:hint="eastAsia"/>
        </w:rPr>
        <w:t>附录A</w:t>
      </w:r>
      <w:r>
        <w:fldChar w:fldCharType="end"/>
      </w:r>
      <w:r>
        <w:rPr>
          <w:rFonts w:hint="eastAsia"/>
          <w:lang w:val="en-US" w:eastAsia="zh-CN"/>
        </w:rPr>
        <w:t xml:space="preserve"> </w:t>
      </w:r>
      <w:r>
        <w:fldChar w:fldCharType="begin"/>
      </w:r>
      <w:r>
        <w:instrText xml:space="preserve"> HYPERLINK \l "_Toc192" </w:instrText>
      </w:r>
      <w:r>
        <w:fldChar w:fldCharType="separate"/>
      </w:r>
      <w:r>
        <w:rPr>
          <w:rFonts w:hint="eastAsia"/>
          <w:bCs/>
        </w:rPr>
        <w:t xml:space="preserve">称重物料罐的示值误差测量结果不确定度评定（示例方法一 </w:t>
      </w:r>
      <w:r>
        <w:rPr>
          <w:rFonts w:hint="eastAsia"/>
        </w:rPr>
        <w:t>全量程</w:t>
      </w:r>
      <w:r>
        <w:rPr>
          <w:rFonts w:hint="eastAsia"/>
          <w:bCs/>
        </w:rPr>
        <w:t>）</w:t>
      </w:r>
      <w:r>
        <w:tab/>
      </w:r>
      <w:r>
        <w:fldChar w:fldCharType="begin"/>
      </w:r>
      <w:r>
        <w:instrText xml:space="preserve"> PAGEREF _Toc192 \h </w:instrText>
      </w:r>
      <w:r>
        <w:fldChar w:fldCharType="separate"/>
      </w:r>
      <w:r>
        <w:t>13</w:t>
      </w:r>
      <w:r>
        <w:fldChar w:fldCharType="end"/>
      </w:r>
      <w:r>
        <w:fldChar w:fldCharType="end"/>
      </w:r>
    </w:p>
    <w:p w14:paraId="45F0580D">
      <w:pPr>
        <w:pStyle w:val="16"/>
        <w:tabs>
          <w:tab w:val="right" w:leader="dot" w:pos="9070"/>
        </w:tabs>
      </w:pPr>
      <w:r>
        <w:fldChar w:fldCharType="begin"/>
      </w:r>
      <w:r>
        <w:instrText xml:space="preserve"> HYPERLINK \l "_Toc5301" </w:instrText>
      </w:r>
      <w:r>
        <w:fldChar w:fldCharType="separate"/>
      </w:r>
      <w:r>
        <w:rPr>
          <w:rFonts w:hint="eastAsia"/>
        </w:rPr>
        <w:t>附录B</w:t>
      </w:r>
      <w:r>
        <w:fldChar w:fldCharType="end"/>
      </w:r>
      <w:r>
        <w:rPr>
          <w:rFonts w:hint="eastAsia"/>
          <w:lang w:val="en-US" w:eastAsia="zh-CN"/>
        </w:rPr>
        <w:t xml:space="preserve"> </w:t>
      </w:r>
      <w:r>
        <w:fldChar w:fldCharType="begin"/>
      </w:r>
      <w:r>
        <w:instrText xml:space="preserve"> HYPERLINK \l "_Toc827" </w:instrText>
      </w:r>
      <w:r>
        <w:fldChar w:fldCharType="separate"/>
      </w:r>
      <w:r>
        <w:rPr>
          <w:rFonts w:hint="eastAsia"/>
          <w:bCs/>
        </w:rPr>
        <w:t xml:space="preserve">称重物料罐的示值误差测量结果不确定度评定（示例方法二 </w:t>
      </w:r>
      <w:r>
        <w:rPr>
          <w:rFonts w:hint="eastAsia"/>
        </w:rPr>
        <w:t>增量</w:t>
      </w:r>
      <w:r>
        <w:rPr>
          <w:rFonts w:hint="eastAsia"/>
          <w:bCs/>
        </w:rPr>
        <w:t>）</w:t>
      </w:r>
      <w:r>
        <w:tab/>
      </w:r>
      <w:r>
        <w:fldChar w:fldCharType="begin"/>
      </w:r>
      <w:r>
        <w:instrText xml:space="preserve"> PAGEREF _Toc827 \h </w:instrText>
      </w:r>
      <w:r>
        <w:fldChar w:fldCharType="separate"/>
      </w:r>
      <w:r>
        <w:t>17</w:t>
      </w:r>
      <w:r>
        <w:fldChar w:fldCharType="end"/>
      </w:r>
      <w:r>
        <w:fldChar w:fldCharType="end"/>
      </w:r>
    </w:p>
    <w:p w14:paraId="23D6A13B">
      <w:pPr>
        <w:pStyle w:val="16"/>
        <w:tabs>
          <w:tab w:val="right" w:leader="dot" w:pos="9070"/>
        </w:tabs>
      </w:pPr>
      <w:r>
        <w:fldChar w:fldCharType="begin"/>
      </w:r>
      <w:r>
        <w:instrText xml:space="preserve"> HYPERLINK \l "_Toc17898" </w:instrText>
      </w:r>
      <w:r>
        <w:fldChar w:fldCharType="separate"/>
      </w:r>
      <w:r>
        <w:rPr>
          <w:rFonts w:hint="eastAsia"/>
        </w:rPr>
        <w:t>附录C</w:t>
      </w:r>
      <w:r>
        <w:fldChar w:fldCharType="end"/>
      </w:r>
      <w:r>
        <w:rPr>
          <w:rFonts w:hint="eastAsia"/>
          <w:lang w:val="en-US" w:eastAsia="zh-CN"/>
        </w:rPr>
        <w:t xml:space="preserve"> </w:t>
      </w:r>
      <w:r>
        <w:fldChar w:fldCharType="begin"/>
      </w:r>
      <w:r>
        <w:instrText xml:space="preserve"> HYPERLINK \l "_Toc27335" </w:instrText>
      </w:r>
      <w:r>
        <w:fldChar w:fldCharType="separate"/>
      </w:r>
      <w:r>
        <w:rPr>
          <w:rFonts w:hint="eastAsia"/>
        </w:rPr>
        <w:t>称重物料罐分步替代法校准记录格式（全量程）（示例）</w:t>
      </w:r>
      <w:r>
        <w:tab/>
      </w:r>
      <w:r>
        <w:fldChar w:fldCharType="begin"/>
      </w:r>
      <w:r>
        <w:instrText xml:space="preserve"> PAGEREF _Toc27335 \h </w:instrText>
      </w:r>
      <w:r>
        <w:fldChar w:fldCharType="separate"/>
      </w:r>
      <w:r>
        <w:t>21</w:t>
      </w:r>
      <w:r>
        <w:fldChar w:fldCharType="end"/>
      </w:r>
      <w:r>
        <w:fldChar w:fldCharType="end"/>
      </w:r>
    </w:p>
    <w:p w14:paraId="5BE6070E">
      <w:pPr>
        <w:pStyle w:val="16"/>
        <w:tabs>
          <w:tab w:val="right" w:leader="dot" w:pos="9070"/>
        </w:tabs>
      </w:pPr>
      <w:r>
        <w:fldChar w:fldCharType="begin"/>
      </w:r>
      <w:r>
        <w:instrText xml:space="preserve"> HYPERLINK \l "_Toc11876" </w:instrText>
      </w:r>
      <w:r>
        <w:fldChar w:fldCharType="separate"/>
      </w:r>
      <w:r>
        <w:rPr>
          <w:rFonts w:hint="eastAsia"/>
        </w:rPr>
        <w:t>附录D</w:t>
      </w:r>
      <w:r>
        <w:fldChar w:fldCharType="end"/>
      </w:r>
      <w:r>
        <w:rPr>
          <w:rFonts w:hint="eastAsia"/>
          <w:lang w:val="en-US" w:eastAsia="zh-CN"/>
        </w:rPr>
        <w:t xml:space="preserve"> </w:t>
      </w:r>
      <w:r>
        <w:fldChar w:fldCharType="begin"/>
      </w:r>
      <w:r>
        <w:instrText xml:space="preserve"> HYPERLINK \l "_Toc8739" </w:instrText>
      </w:r>
      <w:r>
        <w:fldChar w:fldCharType="separate"/>
      </w:r>
      <w:r>
        <w:rPr>
          <w:rFonts w:hint="eastAsia"/>
        </w:rPr>
        <w:t>称重物料罐分步替代法校准记录格式（增量）（示例）</w:t>
      </w:r>
      <w:r>
        <w:tab/>
      </w:r>
      <w:r>
        <w:fldChar w:fldCharType="begin"/>
      </w:r>
      <w:r>
        <w:instrText xml:space="preserve"> PAGEREF _Toc8739 \h </w:instrText>
      </w:r>
      <w:r>
        <w:fldChar w:fldCharType="separate"/>
      </w:r>
      <w:r>
        <w:t>24</w:t>
      </w:r>
      <w:r>
        <w:fldChar w:fldCharType="end"/>
      </w:r>
      <w:r>
        <w:fldChar w:fldCharType="end"/>
      </w:r>
    </w:p>
    <w:p w14:paraId="5FC30B8E">
      <w:pPr>
        <w:pStyle w:val="16"/>
        <w:tabs>
          <w:tab w:val="right" w:leader="dot" w:pos="9070"/>
        </w:tabs>
      </w:pPr>
      <w:r>
        <w:fldChar w:fldCharType="begin"/>
      </w:r>
      <w:r>
        <w:instrText xml:space="preserve"> HYPERLINK \l "_Toc19348" </w:instrText>
      </w:r>
      <w:r>
        <w:fldChar w:fldCharType="separate"/>
      </w:r>
      <w:r>
        <w:rPr>
          <w:rFonts w:hint="eastAsia"/>
        </w:rPr>
        <w:t>附录E</w:t>
      </w:r>
      <w:r>
        <w:fldChar w:fldCharType="end"/>
      </w:r>
      <w:r>
        <w:rPr>
          <w:rFonts w:hint="eastAsia"/>
          <w:lang w:val="en-US" w:eastAsia="zh-CN"/>
        </w:rPr>
        <w:t xml:space="preserve"> </w:t>
      </w:r>
      <w:r>
        <w:fldChar w:fldCharType="begin"/>
      </w:r>
      <w:r>
        <w:instrText xml:space="preserve"> HYPERLINK \l "_Toc16354" </w:instrText>
      </w:r>
      <w:r>
        <w:fldChar w:fldCharType="separate"/>
      </w:r>
      <w:r>
        <w:rPr>
          <w:rFonts w:hint="eastAsia"/>
        </w:rPr>
        <w:t>称重物料罐分步替代法校准证书内页格式（全量程）（示例）</w:t>
      </w:r>
      <w:r>
        <w:tab/>
      </w:r>
      <w:r>
        <w:fldChar w:fldCharType="begin"/>
      </w:r>
      <w:r>
        <w:instrText xml:space="preserve"> PAGEREF _Toc16354 \h </w:instrText>
      </w:r>
      <w:r>
        <w:fldChar w:fldCharType="separate"/>
      </w:r>
      <w:r>
        <w:t>27</w:t>
      </w:r>
      <w:r>
        <w:fldChar w:fldCharType="end"/>
      </w:r>
      <w:r>
        <w:fldChar w:fldCharType="end"/>
      </w:r>
    </w:p>
    <w:p w14:paraId="6E40E986">
      <w:pPr>
        <w:pStyle w:val="16"/>
        <w:tabs>
          <w:tab w:val="right" w:leader="dot" w:pos="9070"/>
        </w:tabs>
      </w:pPr>
      <w:r>
        <w:fldChar w:fldCharType="begin"/>
      </w:r>
      <w:r>
        <w:instrText xml:space="preserve"> HYPERLINK \l "_Toc21768" </w:instrText>
      </w:r>
      <w:r>
        <w:fldChar w:fldCharType="separate"/>
      </w:r>
      <w:r>
        <w:rPr>
          <w:rFonts w:hint="eastAsia"/>
        </w:rPr>
        <w:t>附录F</w:t>
      </w:r>
      <w:r>
        <w:fldChar w:fldCharType="end"/>
      </w:r>
      <w:r>
        <w:rPr>
          <w:rFonts w:hint="eastAsia"/>
          <w:lang w:val="en-US" w:eastAsia="zh-CN"/>
        </w:rPr>
        <w:t xml:space="preserve"> </w:t>
      </w:r>
      <w:r>
        <w:fldChar w:fldCharType="begin"/>
      </w:r>
      <w:r>
        <w:instrText xml:space="preserve"> HYPERLINK \l "_Toc13208" </w:instrText>
      </w:r>
      <w:r>
        <w:fldChar w:fldCharType="separate"/>
      </w:r>
      <w:r>
        <w:rPr>
          <w:rFonts w:hint="eastAsia"/>
        </w:rPr>
        <w:t>称重物料罐分步替代法校准证书内页格式（增量）（示例）</w:t>
      </w:r>
      <w:r>
        <w:tab/>
      </w:r>
      <w:r>
        <w:fldChar w:fldCharType="begin"/>
      </w:r>
      <w:r>
        <w:instrText xml:space="preserve"> PAGEREF _Toc13208 \h </w:instrText>
      </w:r>
      <w:r>
        <w:fldChar w:fldCharType="separate"/>
      </w:r>
      <w:r>
        <w:t>28</w:t>
      </w:r>
      <w:r>
        <w:fldChar w:fldCharType="end"/>
      </w:r>
      <w:r>
        <w:fldChar w:fldCharType="end"/>
      </w:r>
    </w:p>
    <w:p w14:paraId="2F051471">
      <w:pPr>
        <w:pStyle w:val="16"/>
        <w:tabs>
          <w:tab w:val="right" w:leader="dot" w:pos="9070"/>
        </w:tabs>
      </w:pPr>
      <w:r>
        <w:fldChar w:fldCharType="begin"/>
      </w:r>
      <w:r>
        <w:instrText xml:space="preserve"> HYPERLINK \l "_Toc8529" </w:instrText>
      </w:r>
      <w:r>
        <w:fldChar w:fldCharType="separate"/>
      </w:r>
      <w:r>
        <w:rPr>
          <w:rFonts w:hint="eastAsia"/>
        </w:rPr>
        <w:t>附录G</w:t>
      </w:r>
      <w:r>
        <w:fldChar w:fldCharType="end"/>
      </w:r>
      <w:r>
        <w:rPr>
          <w:rFonts w:hint="eastAsia"/>
          <w:lang w:val="en-US" w:eastAsia="zh-CN"/>
        </w:rPr>
        <w:t xml:space="preserve"> </w:t>
      </w:r>
      <w:r>
        <w:fldChar w:fldCharType="begin"/>
      </w:r>
      <w:r>
        <w:instrText xml:space="preserve"> HYPERLINK \l "_Toc20888" </w:instrText>
      </w:r>
      <w:r>
        <w:fldChar w:fldCharType="separate"/>
      </w:r>
      <w:r>
        <w:rPr>
          <w:rFonts w:hint="eastAsia"/>
        </w:rPr>
        <w:t>标准载荷加载系统结构图</w:t>
      </w:r>
      <w:r>
        <w:tab/>
      </w:r>
      <w:r>
        <w:fldChar w:fldCharType="begin"/>
      </w:r>
      <w:r>
        <w:instrText xml:space="preserve"> PAGEREF _Toc20888 \h </w:instrText>
      </w:r>
      <w:r>
        <w:fldChar w:fldCharType="separate"/>
      </w:r>
      <w:r>
        <w:t>29</w:t>
      </w:r>
      <w:r>
        <w:fldChar w:fldCharType="end"/>
      </w:r>
      <w:r>
        <w:fldChar w:fldCharType="end"/>
      </w:r>
    </w:p>
    <w:p w14:paraId="70EE016C">
      <w:pPr>
        <w:pStyle w:val="16"/>
        <w:rPr>
          <w:sz w:val="30"/>
          <w:szCs w:val="30"/>
        </w:rPr>
      </w:pPr>
      <w:r>
        <w:fldChar w:fldCharType="end"/>
      </w:r>
      <w:r>
        <w:rPr>
          <w:sz w:val="30"/>
          <w:szCs w:val="30"/>
        </w:rPr>
        <w:t xml:space="preserve"> </w:t>
      </w:r>
    </w:p>
    <w:p w14:paraId="75B98C49">
      <w:bookmarkStart w:id="229" w:name="_GoBack"/>
      <w:bookmarkEnd w:id="229"/>
      <w:r>
        <w:br w:type="page"/>
      </w:r>
    </w:p>
    <w:p w14:paraId="6A47B6B1">
      <w:pPr>
        <w:pStyle w:val="58"/>
        <w:spacing w:line="480" w:lineRule="auto"/>
        <w:rPr>
          <w:rFonts w:ascii="Times New Roman" w:hAnsi="Times New Roman" w:eastAsia="宋体"/>
          <w:b w:val="0"/>
          <w:sz w:val="44"/>
          <w:szCs w:val="44"/>
        </w:rPr>
      </w:pPr>
      <w:bookmarkStart w:id="6" w:name="_Toc339537049"/>
      <w:bookmarkStart w:id="7" w:name="_Toc24980"/>
      <w:bookmarkStart w:id="8" w:name="_Toc350158457"/>
      <w:r>
        <w:rPr>
          <w:rFonts w:hint="eastAsia" w:ascii="Times New Roman" w:hAnsi="Times New Roman" w:eastAsia="宋体"/>
          <w:b w:val="0"/>
          <w:sz w:val="44"/>
          <w:szCs w:val="44"/>
        </w:rPr>
        <w:t>引    言</w:t>
      </w:r>
      <w:bookmarkEnd w:id="6"/>
      <w:bookmarkEnd w:id="7"/>
      <w:bookmarkEnd w:id="8"/>
    </w:p>
    <w:p w14:paraId="5C388CF9">
      <w:pPr>
        <w:widowControl w:val="0"/>
        <w:autoSpaceDE w:val="0"/>
        <w:autoSpaceDN w:val="0"/>
        <w:spacing w:line="480" w:lineRule="exact"/>
        <w:ind w:left="0" w:firstLine="480" w:firstLineChars="200"/>
        <w:rPr>
          <w:rFonts w:cs="NVFTFW+FZSSK--GBK1-0"/>
          <w:color w:val="000000"/>
          <w:sz w:val="21"/>
        </w:rPr>
      </w:pPr>
      <w:r>
        <w:rPr>
          <w:rFonts w:hint="eastAsia"/>
        </w:rPr>
        <w:t>本规范编订旨在使用一种分步替代载荷的在线校准方法校准称重物料罐。主要用于校准增量示值误差，以确定在装取物料时称重物料罐的示值误差。</w:t>
      </w:r>
    </w:p>
    <w:p w14:paraId="00852326">
      <w:pPr>
        <w:spacing w:line="360" w:lineRule="auto"/>
        <w:ind w:left="198" w:firstLine="480" w:firstLineChars="200"/>
      </w:pPr>
      <w:r>
        <w:rPr>
          <w:rFonts w:hint="eastAsia"/>
        </w:rPr>
        <w:t>JJF 1071 《国家计量校准规范编写规则》、JJF 1001《通用计量术语及定义》、JJF1059.1 《测量不确定度评定与表示》、JJF 1094《测量仪器特性评定》、JJF 1181 《衡器计量名词术语及定义》、JJF 1229 《质量密度计量名词术语及定义》共同构成支撑本规范制订的基础性系列规范。</w:t>
      </w:r>
    </w:p>
    <w:p w14:paraId="0EA2117E">
      <w:pPr>
        <w:spacing w:line="360" w:lineRule="auto"/>
        <w:ind w:left="198" w:firstLine="480" w:firstLineChars="200"/>
      </w:pPr>
      <w:r>
        <w:rPr>
          <w:rFonts w:hint="eastAsia"/>
        </w:rPr>
        <w:t>本规范主要参考了GB/T  27738《重力式自动装料衡器》、JB/T  20191《药用称量配料装置》、JJG 539 《数字指示秤》、JJF 1847《电子天平校准规范》、JJF 1911《大量程散料料仓称重装置校准规范》等技术指标编制而成。</w:t>
      </w:r>
    </w:p>
    <w:p w14:paraId="7A85DA73">
      <w:pPr>
        <w:spacing w:line="360" w:lineRule="auto"/>
        <w:ind w:left="198" w:firstLine="480" w:firstLineChars="200"/>
      </w:pPr>
      <w:r>
        <w:rPr>
          <w:rFonts w:hint="eastAsia"/>
        </w:rPr>
        <w:t>本规范为首次发布。</w:t>
      </w:r>
    </w:p>
    <w:p w14:paraId="7C1A64A6">
      <w:pPr>
        <w:pStyle w:val="19"/>
        <w:spacing w:line="360" w:lineRule="auto"/>
        <w:ind w:left="198" w:firstLine="640" w:firstLineChars="200"/>
        <w:rPr>
          <w:rFonts w:ascii="Times New Roman" w:hAnsi="Times New Roman"/>
        </w:rPr>
      </w:pPr>
    </w:p>
    <w:p w14:paraId="1B942812">
      <w:pPr>
        <w:pBdr>
          <w:bottom w:val="single" w:color="auto" w:sz="6" w:space="1"/>
        </w:pBdr>
        <w:spacing w:line="360" w:lineRule="auto"/>
        <w:ind w:left="198" w:firstLine="480" w:firstLineChars="200"/>
        <w:jc w:val="center"/>
        <w:sectPr>
          <w:headerReference r:id="rId6" w:type="default"/>
          <w:footerReference r:id="rId7" w:type="default"/>
          <w:pgSz w:w="11906" w:h="16838"/>
          <w:pgMar w:top="1440" w:right="1418" w:bottom="1440" w:left="1418" w:header="851" w:footer="992" w:gutter="0"/>
          <w:cols w:space="720" w:num="1"/>
          <w:docGrid w:type="linesAndChars" w:linePitch="312" w:charSpace="0"/>
        </w:sectPr>
      </w:pPr>
    </w:p>
    <w:p w14:paraId="1DD20672"/>
    <w:p w14:paraId="1D4DF6F8">
      <w:pPr>
        <w:jc w:val="center"/>
        <w:rPr>
          <w:sz w:val="32"/>
          <w:szCs w:val="32"/>
        </w:rPr>
      </w:pPr>
      <w:bookmarkStart w:id="9" w:name="OLE_LINK8"/>
      <w:r>
        <w:rPr>
          <w:rFonts w:hint="eastAsia"/>
          <w:sz w:val="32"/>
          <w:szCs w:val="32"/>
        </w:rPr>
        <w:t>称重物料罐校准规范</w:t>
      </w:r>
    </w:p>
    <w:bookmarkEnd w:id="9"/>
    <w:p w14:paraId="53083A5F">
      <w:pPr>
        <w:pStyle w:val="62"/>
        <w:rPr>
          <w:rFonts w:ascii="Times New Roman" w:eastAsia="宋体"/>
          <w:b/>
        </w:rPr>
      </w:pPr>
      <w:bookmarkStart w:id="10" w:name="_Toc24086"/>
      <w:bookmarkStart w:id="11" w:name="_Toc350158458"/>
      <w:r>
        <w:rPr>
          <w:rFonts w:hint="eastAsia" w:ascii="Times New Roman" w:eastAsia="宋体"/>
        </w:rPr>
        <w:t>1 范围</w:t>
      </w:r>
      <w:bookmarkEnd w:id="10"/>
      <w:bookmarkEnd w:id="11"/>
    </w:p>
    <w:p w14:paraId="7DB423C7">
      <w:pPr>
        <w:spacing w:line="360" w:lineRule="auto"/>
        <w:ind w:firstLine="488" w:firstLineChars="200"/>
        <w:rPr>
          <w:spacing w:val="2"/>
          <w:kern w:val="0"/>
        </w:rPr>
      </w:pPr>
      <w:r>
        <w:rPr>
          <w:rFonts w:hint="eastAsia"/>
          <w:spacing w:val="2"/>
          <w:kern w:val="0"/>
        </w:rPr>
        <w:t>本规范适用于称重物料罐的分步替代法校准。</w:t>
      </w:r>
    </w:p>
    <w:p w14:paraId="02CD7E43">
      <w:pPr>
        <w:pStyle w:val="62"/>
        <w:rPr>
          <w:rFonts w:ascii="Times New Roman" w:eastAsia="宋体"/>
          <w:b/>
        </w:rPr>
      </w:pPr>
      <w:bookmarkStart w:id="12" w:name="_Toc13390"/>
      <w:bookmarkStart w:id="13" w:name="_Toc350158459"/>
      <w:r>
        <w:rPr>
          <w:rFonts w:hint="eastAsia" w:ascii="Times New Roman" w:eastAsia="宋体"/>
        </w:rPr>
        <w:t>2 引用文件</w:t>
      </w:r>
      <w:bookmarkEnd w:id="12"/>
      <w:bookmarkEnd w:id="13"/>
    </w:p>
    <w:p w14:paraId="20717249">
      <w:pPr>
        <w:spacing w:line="360" w:lineRule="auto"/>
        <w:ind w:firstLine="480" w:firstLineChars="200"/>
      </w:pPr>
      <w:bookmarkStart w:id="14" w:name="_Toc350158460"/>
      <w:r>
        <w:rPr>
          <w:rFonts w:hint="eastAsia"/>
        </w:rPr>
        <w:t>本规范引用了下列文件：</w:t>
      </w:r>
    </w:p>
    <w:p w14:paraId="3B3A18DD">
      <w:pPr>
        <w:spacing w:line="360" w:lineRule="auto"/>
        <w:ind w:firstLine="480"/>
      </w:pPr>
      <w:r>
        <w:rPr>
          <w:rFonts w:hint="eastAsia"/>
        </w:rPr>
        <w:t>JJG 99 砝码</w:t>
      </w:r>
    </w:p>
    <w:p w14:paraId="3ED8A58F">
      <w:pPr>
        <w:spacing w:line="360" w:lineRule="auto"/>
        <w:ind w:firstLine="480"/>
      </w:pPr>
      <w:r>
        <w:t>JJG</w:t>
      </w:r>
      <w:r>
        <w:rPr>
          <w:rFonts w:hint="eastAsia"/>
        </w:rPr>
        <w:t xml:space="preserve"> 539 数字指示秤</w:t>
      </w:r>
    </w:p>
    <w:p w14:paraId="18543F89">
      <w:pPr>
        <w:spacing w:line="360" w:lineRule="auto"/>
        <w:ind w:firstLine="480" w:firstLineChars="200"/>
        <w:textAlignment w:val="baseline"/>
      </w:pPr>
      <w:r>
        <w:rPr>
          <w:rFonts w:hint="eastAsia"/>
        </w:rPr>
        <w:t>JJF 1001 通用计量术语及定义</w:t>
      </w:r>
    </w:p>
    <w:p w14:paraId="7316236A">
      <w:pPr>
        <w:spacing w:line="360" w:lineRule="auto"/>
        <w:ind w:firstLine="480" w:firstLineChars="200"/>
        <w:textAlignment w:val="baseline"/>
      </w:pPr>
      <w:r>
        <w:t>JJF 1181 衡器计量名词术语及定义</w:t>
      </w:r>
    </w:p>
    <w:p w14:paraId="33597FA3">
      <w:pPr>
        <w:spacing w:line="360" w:lineRule="auto"/>
        <w:ind w:firstLine="480" w:firstLineChars="200"/>
        <w:textAlignment w:val="baseline"/>
      </w:pPr>
      <w:bookmarkStart w:id="15" w:name="OLE_LINK3"/>
      <w:bookmarkStart w:id="16" w:name="OLE_LINK4"/>
      <w:r>
        <w:rPr>
          <w:rFonts w:hint="eastAsia"/>
        </w:rPr>
        <w:t>JJF 1229 质量密度计量名词术语及定义</w:t>
      </w:r>
    </w:p>
    <w:p w14:paraId="0B8259DF">
      <w:pPr>
        <w:spacing w:line="360" w:lineRule="auto"/>
        <w:ind w:firstLine="480" w:firstLineChars="200"/>
        <w:textAlignment w:val="baseline"/>
      </w:pPr>
      <w:r>
        <w:rPr>
          <w:rFonts w:hint="eastAsia"/>
        </w:rPr>
        <w:t>JJF 1911 大量程散料料仓称重装置校准规范</w:t>
      </w:r>
    </w:p>
    <w:p w14:paraId="22BE88B2">
      <w:pPr>
        <w:spacing w:line="360" w:lineRule="auto"/>
        <w:ind w:firstLine="480" w:firstLineChars="200"/>
        <w:textAlignment w:val="baseline"/>
        <w:rPr>
          <w:bCs/>
        </w:rPr>
      </w:pPr>
      <w:r>
        <w:rPr>
          <w:bCs/>
        </w:rPr>
        <w:t>JJF 1847</w:t>
      </w:r>
      <w:r>
        <w:rPr>
          <w:rFonts w:hint="eastAsia"/>
          <w:bCs/>
        </w:rPr>
        <w:t xml:space="preserve"> </w:t>
      </w:r>
      <w:r>
        <w:rPr>
          <w:bCs/>
        </w:rPr>
        <w:t>电子天平校准规范</w:t>
      </w:r>
    </w:p>
    <w:bookmarkEnd w:id="15"/>
    <w:bookmarkEnd w:id="16"/>
    <w:p w14:paraId="028ECF7D">
      <w:pPr>
        <w:spacing w:line="360" w:lineRule="auto"/>
      </w:pPr>
      <w:r>
        <w:rPr>
          <w:rFonts w:hint="eastAsia"/>
        </w:rPr>
        <w:t xml:space="preserve">    凡是注日期的引用文件，仅注日期的版本适用于本规范；凡是不注日期的引用文件，其最新版本（包括所有的修改单）使用本规范。</w:t>
      </w:r>
    </w:p>
    <w:bookmarkEnd w:id="14"/>
    <w:p w14:paraId="3BBA9214">
      <w:pPr>
        <w:pStyle w:val="62"/>
        <w:rPr>
          <w:rFonts w:ascii="Times New Roman" w:eastAsia="宋体"/>
        </w:rPr>
      </w:pPr>
      <w:bookmarkStart w:id="17" w:name="_Toc22686"/>
      <w:r>
        <w:rPr>
          <w:rFonts w:hint="eastAsia" w:ascii="Times New Roman" w:eastAsia="宋体"/>
        </w:rPr>
        <w:t>3 术语和计量单位</w:t>
      </w:r>
      <w:bookmarkEnd w:id="17"/>
    </w:p>
    <w:p w14:paraId="7F82CE6C">
      <w:pPr>
        <w:pStyle w:val="63"/>
      </w:pPr>
      <w:bookmarkStart w:id="18" w:name="_Toc6196"/>
      <w:r>
        <w:rPr>
          <w:rFonts w:hint="eastAsia"/>
        </w:rPr>
        <w:t>3.1 术语</w:t>
      </w:r>
      <w:bookmarkEnd w:id="18"/>
    </w:p>
    <w:p w14:paraId="58360F2D">
      <w:pPr>
        <w:spacing w:line="360" w:lineRule="auto"/>
      </w:pPr>
      <w:r>
        <w:rPr>
          <w:rFonts w:hint="eastAsia"/>
        </w:rPr>
        <w:t>3.1.1称重物料罐</w:t>
      </w:r>
      <w:r>
        <w:t xml:space="preserve">weighing </w:t>
      </w:r>
      <w:r>
        <w:rPr>
          <w:rFonts w:hint="eastAsia"/>
        </w:rPr>
        <w:t>m</w:t>
      </w:r>
      <w:r>
        <w:t xml:space="preserve">aterial </w:t>
      </w:r>
      <w:r>
        <w:rPr>
          <w:rFonts w:hint="eastAsia"/>
        </w:rPr>
        <w:t>t</w:t>
      </w:r>
      <w:r>
        <w:t>anks</w:t>
      </w:r>
    </w:p>
    <w:p w14:paraId="2CF11AA0">
      <w:pPr>
        <w:spacing w:line="360" w:lineRule="auto"/>
        <w:ind w:left="198" w:firstLine="480" w:firstLineChars="200"/>
      </w:pPr>
      <w:r>
        <w:rPr>
          <w:rFonts w:hint="eastAsia"/>
        </w:rPr>
        <w:t>具有称重系统的物料罐，</w:t>
      </w:r>
      <w:r>
        <w:t>包括但不限于药品、化工、食品等行业的液体或固体物料称重系统。</w:t>
      </w:r>
    </w:p>
    <w:p w14:paraId="38972778">
      <w:pPr>
        <w:spacing w:line="360" w:lineRule="auto"/>
      </w:pPr>
      <w:r>
        <w:rPr>
          <w:rFonts w:hint="eastAsia"/>
        </w:rPr>
        <w:t xml:space="preserve">3.1.2分步替代法校准 </w:t>
      </w:r>
      <w:r>
        <w:t>step-by-</w:t>
      </w:r>
      <w:r>
        <w:rPr>
          <w:rFonts w:hint="eastAsia"/>
        </w:rPr>
        <w:t>s</w:t>
      </w:r>
      <w:r>
        <w:t xml:space="preserve">tep substitution </w:t>
      </w:r>
      <w:r>
        <w:rPr>
          <w:rFonts w:hint="eastAsia"/>
        </w:rPr>
        <w:t>c</w:t>
      </w:r>
      <w:r>
        <w:t>alibration</w:t>
      </w:r>
    </w:p>
    <w:p w14:paraId="19D1FB0A">
      <w:pPr>
        <w:spacing w:line="360" w:lineRule="auto"/>
        <w:ind w:left="198" w:firstLine="480" w:firstLineChars="200"/>
      </w:pPr>
      <w:bookmarkStart w:id="19" w:name="OLE_LINK75"/>
      <w:bookmarkStart w:id="20" w:name="OLE_LINK74"/>
      <w:r>
        <w:t>通过使用替代载荷逐步替代标准载荷单元，对称重系统进行校准的方法。</w:t>
      </w:r>
    </w:p>
    <w:bookmarkEnd w:id="19"/>
    <w:bookmarkEnd w:id="20"/>
    <w:p w14:paraId="27987D4F">
      <w:pPr>
        <w:spacing w:line="360" w:lineRule="auto"/>
      </w:pPr>
      <w:bookmarkStart w:id="21" w:name="_Toc196333475"/>
      <w:r>
        <w:rPr>
          <w:rFonts w:hint="eastAsia"/>
        </w:rPr>
        <w:t xml:space="preserve">3.1.3 </w:t>
      </w:r>
      <w:bookmarkStart w:id="22" w:name="OLE_LINK82"/>
      <w:bookmarkStart w:id="23" w:name="OLE_LINK83"/>
      <w:r>
        <w:rPr>
          <w:rFonts w:hint="eastAsia"/>
        </w:rPr>
        <w:t xml:space="preserve">标准载荷单元 </w:t>
      </w:r>
      <w:bookmarkStart w:id="24" w:name="OLE_LINK340"/>
      <w:bookmarkStart w:id="25" w:name="OLE_LINK341"/>
      <w:r>
        <w:rPr>
          <w:rFonts w:hint="eastAsia"/>
        </w:rPr>
        <w:t xml:space="preserve">standard </w:t>
      </w:r>
      <w:bookmarkStart w:id="26" w:name="OLE_LINK343"/>
      <w:bookmarkStart w:id="27" w:name="OLE_LINK344"/>
      <w:r>
        <w:rPr>
          <w:rFonts w:hint="eastAsia"/>
        </w:rPr>
        <w:t>w</w:t>
      </w:r>
      <w:r>
        <w:t>eight</w:t>
      </w:r>
      <w:bookmarkEnd w:id="26"/>
      <w:bookmarkEnd w:id="27"/>
      <w:r>
        <w:rPr>
          <w:rFonts w:hint="eastAsia"/>
        </w:rPr>
        <w:t xml:space="preserve"> unit</w:t>
      </w:r>
      <w:bookmarkEnd w:id="21"/>
      <w:bookmarkEnd w:id="24"/>
      <w:bookmarkEnd w:id="25"/>
    </w:p>
    <w:p w14:paraId="200C0EE7">
      <w:pPr>
        <w:spacing w:line="360" w:lineRule="auto"/>
        <w:ind w:firstLine="508" w:firstLineChars="212"/>
      </w:pPr>
      <w:r>
        <w:rPr>
          <w:rFonts w:hint="eastAsia"/>
        </w:rPr>
        <w:t>一组标准砝码，由若干标准砝码组成的、作为整体进行加载和卸载的载荷集合。</w:t>
      </w:r>
    </w:p>
    <w:bookmarkEnd w:id="22"/>
    <w:bookmarkEnd w:id="23"/>
    <w:p w14:paraId="09A4672C">
      <w:pPr>
        <w:spacing w:line="360" w:lineRule="auto"/>
      </w:pPr>
      <w:bookmarkStart w:id="28" w:name="_Toc196333476"/>
      <w:r>
        <w:rPr>
          <w:rFonts w:hint="eastAsia"/>
        </w:rPr>
        <w:t>3.1.4</w:t>
      </w:r>
      <w:r>
        <w:t>标准载荷加载单元</w:t>
      </w:r>
      <w:r>
        <w:rPr>
          <w:rFonts w:hint="eastAsia"/>
        </w:rPr>
        <w:t xml:space="preserve"> standard </w:t>
      </w:r>
      <w:r>
        <w:t>weight</w:t>
      </w:r>
      <w:r>
        <w:rPr>
          <w:rFonts w:hint="eastAsia"/>
        </w:rPr>
        <w:t xml:space="preserve"> loading unit</w:t>
      </w:r>
    </w:p>
    <w:p w14:paraId="0316BFC1">
      <w:pPr>
        <w:spacing w:line="360" w:lineRule="auto"/>
      </w:pPr>
      <w:r>
        <w:rPr>
          <w:rFonts w:hint="eastAsia"/>
        </w:rPr>
        <w:t xml:space="preserve">     由标准载荷单元和</w:t>
      </w:r>
      <w:r>
        <w:t>液压缸、</w:t>
      </w:r>
      <w:r>
        <w:rPr>
          <w:rFonts w:hint="eastAsia"/>
        </w:rPr>
        <w:t>可伸缩砝码罩等组成，用于</w:t>
      </w:r>
      <w:bookmarkStart w:id="29" w:name="OLE_LINK348"/>
      <w:r>
        <w:rPr>
          <w:rFonts w:hint="eastAsia"/>
        </w:rPr>
        <w:t>对称重物料罐施加载荷。</w:t>
      </w:r>
      <w:bookmarkEnd w:id="29"/>
    </w:p>
    <w:p w14:paraId="1AC70E81">
      <w:pPr>
        <w:spacing w:line="360" w:lineRule="auto"/>
        <w:rPr>
          <w:rFonts w:cs="Arial"/>
          <w:bCs/>
        </w:rPr>
      </w:pPr>
      <w:r>
        <w:rPr>
          <w:rFonts w:hint="eastAsia"/>
        </w:rPr>
        <w:t>3.1.5</w:t>
      </w:r>
      <w:bookmarkStart w:id="30" w:name="OLE_LINK87"/>
      <w:r>
        <w:rPr>
          <w:rFonts w:hint="eastAsia" w:cs="Arial"/>
          <w:bCs/>
        </w:rPr>
        <w:t>标准载荷加载系统</w:t>
      </w:r>
      <w:bookmarkEnd w:id="30"/>
      <w:r>
        <w:rPr>
          <w:rFonts w:hint="eastAsia" w:cs="Arial"/>
          <w:bCs/>
        </w:rPr>
        <w:t xml:space="preserve"> </w:t>
      </w:r>
      <w:r>
        <w:rPr>
          <w:rFonts w:hint="eastAsia"/>
        </w:rPr>
        <w:t xml:space="preserve">standard </w:t>
      </w:r>
      <w:r>
        <w:t>weight</w:t>
      </w:r>
      <w:r>
        <w:rPr>
          <w:rFonts w:hint="eastAsia"/>
        </w:rPr>
        <w:t xml:space="preserve"> loading system</w:t>
      </w:r>
    </w:p>
    <w:p w14:paraId="618437F7">
      <w:pPr>
        <w:spacing w:line="360" w:lineRule="auto"/>
        <w:ind w:firstLine="480" w:firstLineChars="200"/>
      </w:pPr>
      <w:r>
        <w:t>由</w:t>
      </w:r>
      <w:r>
        <w:rPr>
          <w:rFonts w:hint="eastAsia"/>
        </w:rPr>
        <w:t>标准载荷加载单元、绷带、数据采集器、摄像头、手提电脑构成的用于称重物料罐校准的装置。</w:t>
      </w:r>
    </w:p>
    <w:p w14:paraId="2863EC0D">
      <w:pPr>
        <w:spacing w:line="360" w:lineRule="auto"/>
      </w:pPr>
      <w:r>
        <w:rPr>
          <w:rFonts w:hint="eastAsia"/>
        </w:rPr>
        <w:t xml:space="preserve">3.1.6增量示值误差 </w:t>
      </w:r>
      <w:bookmarkEnd w:id="28"/>
      <w:r>
        <w:rPr>
          <w:rFonts w:hint="eastAsia"/>
        </w:rPr>
        <w:t>Incremental indication error</w:t>
      </w:r>
    </w:p>
    <w:p w14:paraId="1C638917">
      <w:pPr>
        <w:spacing w:line="360" w:lineRule="auto"/>
        <w:ind w:firstLine="480"/>
      </w:pPr>
      <w:bookmarkStart w:id="31" w:name="_Toc196333477"/>
      <w:r>
        <w:rPr>
          <w:rFonts w:hint="eastAsia"/>
        </w:rPr>
        <w:t>在试验载荷添加的一组标准载荷单元，称重物料罐由于该标准载荷单元引起的示值变化与标准载荷单元的质量值之间的差。</w:t>
      </w:r>
      <w:bookmarkEnd w:id="31"/>
    </w:p>
    <w:p w14:paraId="318EED15">
      <w:pPr>
        <w:pStyle w:val="63"/>
      </w:pPr>
      <w:bookmarkStart w:id="32" w:name="_Toc12184"/>
      <w:r>
        <w:rPr>
          <w:rFonts w:hint="eastAsia"/>
        </w:rPr>
        <w:t>3.2 计量单位</w:t>
      </w:r>
      <w:bookmarkEnd w:id="32"/>
    </w:p>
    <w:p w14:paraId="5329FB2C">
      <w:pPr>
        <w:ind w:left="199" w:leftChars="83" w:firstLine="480" w:firstLineChars="200"/>
      </w:pPr>
      <w:bookmarkStart w:id="33" w:name="_Toc196333479"/>
      <w:r>
        <w:rPr>
          <w:rFonts w:hint="eastAsia"/>
        </w:rPr>
        <w:t>使用的计量单位应为法定计量单位，包括</w:t>
      </w:r>
      <w:r>
        <w:t>：千克（kg）、克（g）、吨（t）。</w:t>
      </w:r>
      <w:bookmarkEnd w:id="33"/>
    </w:p>
    <w:p w14:paraId="0C9597D6">
      <w:pPr>
        <w:pStyle w:val="62"/>
        <w:rPr>
          <w:rFonts w:ascii="Times New Roman" w:eastAsia="宋体"/>
          <w:b/>
        </w:rPr>
      </w:pPr>
      <w:bookmarkStart w:id="34" w:name="_Toc5095"/>
      <w:r>
        <w:rPr>
          <w:rFonts w:hint="eastAsia" w:ascii="Times New Roman" w:eastAsia="宋体"/>
        </w:rPr>
        <w:t>4 概述</w:t>
      </w:r>
      <w:bookmarkEnd w:id="34"/>
    </w:p>
    <w:p w14:paraId="61EE9FD7">
      <w:pPr>
        <w:widowControl w:val="0"/>
        <w:autoSpaceDE w:val="0"/>
        <w:autoSpaceDN w:val="0"/>
        <w:spacing w:line="480" w:lineRule="exact"/>
        <w:ind w:left="0" w:firstLine="480" w:firstLineChars="200"/>
        <w:rPr>
          <w:rFonts w:cs="宋体"/>
        </w:rPr>
      </w:pPr>
      <w:bookmarkStart w:id="35" w:name="_Toc350158461"/>
      <w:r>
        <w:rPr>
          <w:rFonts w:hint="eastAsia" w:hAnsi="宋体" w:cs="宋体"/>
          <w:bCs/>
        </w:rPr>
        <w:t>称重物料罐</w:t>
      </w:r>
      <w:r>
        <w:rPr>
          <w:rFonts w:hint="eastAsia"/>
          <w:kern w:val="0"/>
        </w:rPr>
        <w:t>（以下简称</w:t>
      </w:r>
      <w:r>
        <w:rPr>
          <w:rFonts w:hint="eastAsia"/>
          <w:color w:val="000000"/>
          <w:kern w:val="0"/>
        </w:rPr>
        <w:t>称重系统</w:t>
      </w:r>
      <w:r>
        <w:rPr>
          <w:rFonts w:hint="eastAsia"/>
          <w:kern w:val="0"/>
        </w:rPr>
        <w:t>）</w:t>
      </w:r>
      <w:r>
        <w:rPr>
          <w:rFonts w:hint="eastAsia" w:hAnsi="宋体" w:cs="宋体"/>
        </w:rPr>
        <w:t>是固定式</w:t>
      </w:r>
      <w:r>
        <w:rPr>
          <w:rFonts w:hint="eastAsia" w:hAnsi="宋体" w:cs="宋体"/>
          <w:bCs/>
        </w:rPr>
        <w:t>非自</w:t>
      </w:r>
      <w:r>
        <w:rPr>
          <w:rFonts w:hint="eastAsia" w:hAnsi="宋体" w:cs="宋体"/>
        </w:rPr>
        <w:t>动衡器的一种特殊型式，是对料罐、储罐、反应釜等罐体称重系统的统称。</w:t>
      </w:r>
    </w:p>
    <w:p w14:paraId="1A76F6AA">
      <w:pPr>
        <w:widowControl w:val="0"/>
        <w:autoSpaceDE w:val="0"/>
        <w:autoSpaceDN w:val="0"/>
        <w:spacing w:line="480" w:lineRule="exact"/>
        <w:ind w:left="0" w:firstLine="480" w:firstLineChars="200"/>
      </w:pPr>
      <w:r>
        <w:rPr>
          <w:rFonts w:hint="eastAsia"/>
        </w:rPr>
        <w:t>原理：将散装物料</w:t>
      </w:r>
      <w:r>
        <w:rPr>
          <w:rFonts w:hint="eastAsia" w:hAnsi="宋体" w:cs="宋体"/>
          <w:bCs/>
        </w:rPr>
        <w:t>（固体或液体）</w:t>
      </w:r>
      <w:r>
        <w:rPr>
          <w:rFonts w:hint="eastAsia"/>
        </w:rPr>
        <w:t>置于罐体内，称重传感器产生的电信号通过数据处理装置转换并计算，由称重指示器显示出称重结果。</w:t>
      </w:r>
    </w:p>
    <w:p w14:paraId="60E19F63">
      <w:pPr>
        <w:widowControl w:val="0"/>
        <w:autoSpaceDE w:val="0"/>
        <w:autoSpaceDN w:val="0"/>
        <w:spacing w:line="480" w:lineRule="exact"/>
        <w:ind w:left="513" w:leftChars="214"/>
      </w:pPr>
      <w:r>
        <w:rPr>
          <w:rFonts w:hint="eastAsia"/>
        </w:rPr>
        <w:t>结构：</w:t>
      </w:r>
      <w:r>
        <w:rPr>
          <w:rFonts w:hint="eastAsia" w:hAnsi="宋体" w:cs="宋体"/>
          <w:bCs/>
        </w:rPr>
        <w:t>称重系统</w:t>
      </w:r>
      <w:r>
        <w:rPr>
          <w:rFonts w:hint="eastAsia"/>
        </w:rPr>
        <w:t>的结构主要由罐体、称重模块、</w:t>
      </w:r>
      <w:r>
        <w:rPr>
          <w:rFonts w:hint="eastAsia" w:hAnsi="宋体" w:cs="宋体"/>
          <w:bCs/>
        </w:rPr>
        <w:t>称重指示器、外围设备等组成</w:t>
      </w:r>
      <w:r>
        <w:rPr>
          <w:rFonts w:hint="eastAsia"/>
        </w:rPr>
        <w:t>。</w:t>
      </w:r>
    </w:p>
    <w:p w14:paraId="4AAC8BAE">
      <w:pPr>
        <w:widowControl w:val="0"/>
        <w:autoSpaceDE w:val="0"/>
        <w:autoSpaceDN w:val="0"/>
        <w:spacing w:line="480" w:lineRule="exact"/>
        <w:ind w:left="0" w:firstLine="480" w:firstLineChars="200"/>
      </w:pPr>
      <w:r>
        <w:rPr>
          <w:rFonts w:hint="eastAsia"/>
        </w:rPr>
        <w:t>用途及用法：广泛应用于化工、食品、制药等行业的物料配比、投料控制等称重计量工艺环节。</w:t>
      </w:r>
    </w:p>
    <w:p w14:paraId="58776F92">
      <w:pPr>
        <w:pStyle w:val="62"/>
        <w:rPr>
          <w:rFonts w:ascii="Times New Roman" w:eastAsia="宋体"/>
          <w:b/>
        </w:rPr>
      </w:pPr>
      <w:bookmarkStart w:id="36" w:name="_Toc8372"/>
      <w:r>
        <w:rPr>
          <w:rFonts w:hint="eastAsia" w:ascii="Times New Roman" w:eastAsia="宋体"/>
        </w:rPr>
        <w:t>5 计量特性</w:t>
      </w:r>
      <w:bookmarkEnd w:id="35"/>
      <w:bookmarkEnd w:id="36"/>
    </w:p>
    <w:p w14:paraId="79001A50">
      <w:pPr>
        <w:spacing w:line="360" w:lineRule="auto"/>
        <w:textAlignment w:val="baseline"/>
      </w:pPr>
      <w:bookmarkStart w:id="37" w:name="_Toc350158482"/>
      <w:r>
        <w:rPr>
          <w:rFonts w:hint="eastAsia"/>
          <w:bCs/>
        </w:rPr>
        <w:t>5.1</w:t>
      </w:r>
      <w:r>
        <w:rPr>
          <w:rFonts w:hint="eastAsia"/>
        </w:rPr>
        <w:t>分度值</w:t>
      </w:r>
    </w:p>
    <w:p w14:paraId="13FE6CF2">
      <w:pPr>
        <w:spacing w:line="360" w:lineRule="auto"/>
        <w:ind w:left="199" w:leftChars="83" w:firstLine="480" w:firstLineChars="200"/>
        <w:textAlignment w:val="baseline"/>
      </w:pPr>
      <w:r>
        <w:rPr>
          <w:rFonts w:hint="eastAsia"/>
        </w:rPr>
        <w:t>称重系统的分度值</w:t>
      </w:r>
      <w:r>
        <w:rPr>
          <w:rFonts w:hint="eastAsia"/>
          <w:i/>
          <w:iCs/>
        </w:rPr>
        <w:t>d</w:t>
      </w:r>
      <w:r>
        <w:rPr>
          <w:rFonts w:hint="eastAsia"/>
        </w:rPr>
        <w:t>应</w:t>
      </w:r>
      <w:r>
        <w:t>以1</w:t>
      </w:r>
      <w:bookmarkStart w:id="38" w:name="OLE_LINK31"/>
      <w:r>
        <w:t>×10</w:t>
      </w:r>
      <w:r>
        <w:rPr>
          <w:i/>
          <w:vertAlign w:val="superscript"/>
        </w:rPr>
        <w:t>k</w:t>
      </w:r>
      <w:bookmarkEnd w:id="38"/>
      <w:r>
        <w:t>、2×10</w:t>
      </w:r>
      <w:r>
        <w:rPr>
          <w:i/>
          <w:vertAlign w:val="superscript"/>
        </w:rPr>
        <w:t>k</w:t>
      </w:r>
      <w:r>
        <w:t>、5×10</w:t>
      </w:r>
      <w:r>
        <w:rPr>
          <w:i/>
          <w:vertAlign w:val="superscript"/>
        </w:rPr>
        <w:t>k</w:t>
      </w:r>
      <w:r>
        <w:t>（</w:t>
      </w:r>
      <w:r>
        <w:rPr>
          <w:rFonts w:hint="eastAsia" w:ascii="宋体" w:hAnsi="宋体" w:cs="宋体"/>
        </w:rPr>
        <w:t>“</w:t>
      </w:r>
      <w:r>
        <w:rPr>
          <w:i/>
        </w:rPr>
        <w:t>k</w:t>
      </w:r>
      <w:r>
        <w:rPr>
          <w:rFonts w:hint="eastAsia" w:ascii="宋体" w:hAnsi="宋体" w:cs="宋体"/>
        </w:rPr>
        <w:t>”</w:t>
      </w:r>
      <w:r>
        <w:t xml:space="preserve"> 可为正整数、负整数或等于零）形式表示质量单位。</w:t>
      </w:r>
    </w:p>
    <w:p w14:paraId="22A63963">
      <w:pPr>
        <w:spacing w:line="360" w:lineRule="auto"/>
        <w:textAlignment w:val="baseline"/>
      </w:pPr>
      <w:r>
        <w:rPr>
          <w:rFonts w:hint="eastAsia"/>
        </w:rPr>
        <w:t xml:space="preserve">5.2 </w:t>
      </w:r>
      <w:bookmarkStart w:id="39" w:name="OLE_LINK84"/>
      <w:r>
        <w:rPr>
          <w:rFonts w:hint="eastAsia"/>
        </w:rPr>
        <w:t>示值误差</w:t>
      </w:r>
      <w:bookmarkEnd w:id="39"/>
    </w:p>
    <w:p w14:paraId="5DF44AA7">
      <w:pPr>
        <w:spacing w:line="360" w:lineRule="auto"/>
        <w:ind w:left="199" w:leftChars="83" w:firstLine="480" w:firstLineChars="200"/>
        <w:textAlignment w:val="baseline"/>
      </w:pPr>
      <w:r>
        <w:t>在加载或卸载时，称重装置的显示值与标准载荷质量值之差。</w:t>
      </w:r>
    </w:p>
    <w:p w14:paraId="7FE0D1A4">
      <w:pPr>
        <w:spacing w:line="360" w:lineRule="auto"/>
        <w:textAlignment w:val="baseline"/>
      </w:pPr>
      <w:r>
        <w:rPr>
          <w:rFonts w:hint="eastAsia"/>
        </w:rPr>
        <w:t>5.3 增量示值误差</w:t>
      </w:r>
    </w:p>
    <w:p w14:paraId="6ED76CC6">
      <w:pPr>
        <w:spacing w:line="360" w:lineRule="auto"/>
        <w:ind w:firstLine="470"/>
        <w:textAlignment w:val="baseline"/>
      </w:pPr>
      <w:r>
        <w:rPr>
          <w:rFonts w:hint="eastAsia"/>
        </w:rPr>
        <w:t>在某一试验载荷下，添加一组标准载荷单元，称重系统</w:t>
      </w:r>
      <w:r>
        <w:t>的显示值</w:t>
      </w:r>
      <w:r>
        <w:rPr>
          <w:rFonts w:hint="eastAsia"/>
        </w:rPr>
        <w:t>与标准载荷单元质量值之差。</w:t>
      </w:r>
    </w:p>
    <w:p w14:paraId="5974CCDB">
      <w:pPr>
        <w:spacing w:line="360" w:lineRule="auto"/>
        <w:textAlignment w:val="baseline"/>
      </w:pPr>
      <w:r>
        <w:rPr>
          <w:rFonts w:hint="eastAsia"/>
        </w:rPr>
        <w:t xml:space="preserve">5.4 </w:t>
      </w:r>
      <w:bookmarkStart w:id="40" w:name="OLE_LINK85"/>
      <w:r>
        <w:rPr>
          <w:rFonts w:hint="eastAsia"/>
        </w:rPr>
        <w:t>重复性</w:t>
      </w:r>
      <w:bookmarkEnd w:id="40"/>
    </w:p>
    <w:p w14:paraId="70E3E12C">
      <w:pPr>
        <w:spacing w:line="360" w:lineRule="auto"/>
        <w:ind w:firstLine="470"/>
        <w:textAlignment w:val="baseline"/>
      </w:pPr>
      <w:r>
        <w:rPr>
          <w:rFonts w:hint="eastAsia"/>
        </w:rPr>
        <w:t>同一载荷多次称量结果之间的差值，以最大值与最小值之差表示。</w:t>
      </w:r>
    </w:p>
    <w:p w14:paraId="7142393C">
      <w:pPr>
        <w:spacing w:line="360" w:lineRule="auto"/>
        <w:textAlignment w:val="baseline"/>
      </w:pPr>
      <w:r>
        <w:rPr>
          <w:rFonts w:hint="eastAsia"/>
        </w:rPr>
        <w:t xml:space="preserve">5.5 </w:t>
      </w:r>
      <w:bookmarkStart w:id="41" w:name="OLE_LINK89"/>
      <w:bookmarkStart w:id="42" w:name="OLE_LINK88"/>
      <w:r>
        <w:rPr>
          <w:rFonts w:hint="eastAsia"/>
        </w:rPr>
        <w:t>同一载荷在不同位置的示值误差</w:t>
      </w:r>
      <w:bookmarkEnd w:id="41"/>
      <w:bookmarkEnd w:id="42"/>
    </w:p>
    <w:p w14:paraId="149AB480">
      <w:pPr>
        <w:spacing w:line="360" w:lineRule="auto"/>
        <w:textAlignment w:val="baseline"/>
      </w:pPr>
      <w:r>
        <w:rPr>
          <w:rFonts w:hint="eastAsia"/>
        </w:rPr>
        <w:t xml:space="preserve">    用偏载示值与均匀加载示值之差绝对值的最大值表示。</w:t>
      </w:r>
    </w:p>
    <w:p w14:paraId="0E0B562A">
      <w:pPr>
        <w:pStyle w:val="62"/>
        <w:rPr>
          <w:rFonts w:ascii="Times New Roman" w:eastAsia="宋体"/>
        </w:rPr>
      </w:pPr>
      <w:bookmarkStart w:id="43" w:name="_Toc24974"/>
      <w:r>
        <w:rPr>
          <w:rFonts w:hint="eastAsia" w:ascii="Times New Roman" w:eastAsia="宋体"/>
        </w:rPr>
        <w:t xml:space="preserve">6 </w:t>
      </w:r>
      <w:r>
        <w:rPr>
          <w:rFonts w:ascii="Times New Roman" w:eastAsia="宋体"/>
        </w:rPr>
        <w:t>校准条件</w:t>
      </w:r>
      <w:bookmarkEnd w:id="43"/>
    </w:p>
    <w:p w14:paraId="63F53D8E">
      <w:pPr>
        <w:pStyle w:val="63"/>
      </w:pPr>
      <w:bookmarkStart w:id="44" w:name="_Toc27630"/>
      <w:bookmarkStart w:id="45" w:name="_Toc350158471"/>
      <w:r>
        <w:rPr>
          <w:rFonts w:hint="eastAsia"/>
        </w:rPr>
        <w:t>6</w:t>
      </w:r>
      <w:r>
        <w:t>.</w:t>
      </w:r>
      <w:r>
        <w:rPr>
          <w:rFonts w:hint="eastAsia"/>
        </w:rPr>
        <w:t xml:space="preserve">1 </w:t>
      </w:r>
      <w:r>
        <w:t>环境条件</w:t>
      </w:r>
      <w:bookmarkEnd w:id="44"/>
      <w:bookmarkEnd w:id="45"/>
    </w:p>
    <w:p w14:paraId="5247688C">
      <w:bookmarkStart w:id="46" w:name="_Toc350158472"/>
      <w:r>
        <w:rPr>
          <w:rFonts w:hint="eastAsia"/>
        </w:rPr>
        <w:t>6.1.1</w:t>
      </w:r>
      <w:bookmarkStart w:id="47" w:name="OLE_LINK93"/>
      <w:bookmarkStart w:id="48" w:name="OLE_LINK92"/>
      <w:r>
        <w:rPr>
          <w:rFonts w:hint="eastAsia"/>
        </w:rPr>
        <w:t xml:space="preserve"> </w:t>
      </w:r>
      <w:r>
        <w:t>温度</w:t>
      </w:r>
      <w:r>
        <w:rPr>
          <w:rFonts w:hint="eastAsia"/>
        </w:rPr>
        <w:t>：</w:t>
      </w:r>
      <w:bookmarkStart w:id="49" w:name="OLE_LINK7"/>
      <w:r>
        <w:rPr>
          <w:rFonts w:hint="eastAsia"/>
        </w:rPr>
        <w:t>（-10～+40）℃</w:t>
      </w:r>
      <w:bookmarkEnd w:id="49"/>
      <w:r>
        <w:t xml:space="preserve"> ，温度变化一般不超过</w:t>
      </w:r>
      <w:r>
        <w:rPr>
          <w:rFonts w:hint="eastAsia"/>
        </w:rPr>
        <w:t>5℃/h。</w:t>
      </w:r>
    </w:p>
    <w:p w14:paraId="18829549">
      <w:r>
        <w:rPr>
          <w:rFonts w:hint="eastAsia"/>
        </w:rPr>
        <w:t xml:space="preserve">6.1.2 </w:t>
      </w:r>
      <w:r>
        <w:t>湿度：</w:t>
      </w:r>
      <w:r>
        <w:rPr>
          <w:rFonts w:hint="eastAsia"/>
        </w:rPr>
        <w:t>≤85%RH。</w:t>
      </w:r>
    </w:p>
    <w:p w14:paraId="64A5BD80">
      <w:r>
        <w:t xml:space="preserve">6.1.3 </w:t>
      </w:r>
      <w:r>
        <w:rPr>
          <w:rFonts w:hint="eastAsia"/>
        </w:rPr>
        <w:t>电源电压：工作电源的电压波动不超过正常额定电压的</w:t>
      </w:r>
      <w:r>
        <w:t>-15%</w:t>
      </w:r>
      <w:r>
        <w:rPr>
          <w:rFonts w:hint="eastAsia"/>
        </w:rPr>
        <w:t>～</w:t>
      </w:r>
      <w:r>
        <w:t>+10%</w:t>
      </w:r>
      <w:r>
        <w:rPr>
          <w:rFonts w:hint="eastAsia"/>
        </w:rPr>
        <w:t>。</w:t>
      </w:r>
      <w:r>
        <w:t xml:space="preserve"> </w:t>
      </w:r>
    </w:p>
    <w:p w14:paraId="4563C93E">
      <w:r>
        <w:t xml:space="preserve">6.1.4 </w:t>
      </w:r>
      <w:r>
        <w:rPr>
          <w:rFonts w:hint="eastAsia"/>
        </w:rPr>
        <w:t>校准时不得有影响校准结果的干扰源。</w:t>
      </w:r>
    </w:p>
    <w:p w14:paraId="202C1F06">
      <w:pPr>
        <w:spacing w:line="360" w:lineRule="auto"/>
        <w:ind w:firstLine="600" w:firstLineChars="250"/>
        <w:rPr>
          <w:rFonts w:eastAsia="仿宋"/>
          <w:bCs/>
          <w:szCs w:val="21"/>
        </w:rPr>
      </w:pPr>
      <w:r>
        <w:rPr>
          <w:rFonts w:hint="eastAsia" w:eastAsia="仿宋"/>
          <w:bCs/>
          <w:szCs w:val="21"/>
        </w:rPr>
        <w:t>注：上述条件与制造商的产品规定不一致时，环境条件应符合称重系统使用说明书要求，以产品规定为准。</w:t>
      </w:r>
      <w:bookmarkEnd w:id="47"/>
      <w:bookmarkEnd w:id="48"/>
    </w:p>
    <w:p w14:paraId="57AEF84E">
      <w:pPr>
        <w:spacing w:line="360" w:lineRule="auto"/>
        <w:ind w:firstLine="600" w:firstLineChars="250"/>
        <w:rPr>
          <w:bCs/>
          <w:sz w:val="21"/>
          <w:szCs w:val="21"/>
        </w:rPr>
      </w:pPr>
      <w:r>
        <w:rPr>
          <w:rFonts w:hint="eastAsia"/>
        </w:rPr>
        <w:t>（引用JJF 1911中6.1.1、6.1.2、6.1.3、6.1.4，及注）</w:t>
      </w:r>
    </w:p>
    <w:p w14:paraId="6E789AFB">
      <w:pPr>
        <w:pStyle w:val="63"/>
      </w:pPr>
      <w:bookmarkStart w:id="50" w:name="_Toc7669"/>
      <w:r>
        <w:rPr>
          <w:rFonts w:hint="eastAsia"/>
        </w:rPr>
        <w:t xml:space="preserve">6.2 </w:t>
      </w:r>
      <w:bookmarkEnd w:id="46"/>
      <w:bookmarkStart w:id="51" w:name="OLE_LINK95"/>
      <w:r>
        <w:rPr>
          <w:rFonts w:hint="eastAsia"/>
        </w:rPr>
        <w:t>测量标准及其他设备</w:t>
      </w:r>
      <w:bookmarkEnd w:id="50"/>
      <w:bookmarkEnd w:id="51"/>
    </w:p>
    <w:p w14:paraId="23DE7670">
      <w:bookmarkStart w:id="52" w:name="_Toc196333485"/>
      <w:r>
        <w:t>6.2.1</w:t>
      </w:r>
      <w:r>
        <w:rPr>
          <w:rFonts w:hint="eastAsia"/>
        </w:rPr>
        <w:t xml:space="preserve"> </w:t>
      </w:r>
      <w:bookmarkStart w:id="53" w:name="OLE_LINK96"/>
      <w:r>
        <w:rPr>
          <w:rFonts w:hint="eastAsia"/>
        </w:rPr>
        <w:t>标准载荷单元（标准砝码）作为校准用标准装置。</w:t>
      </w:r>
      <w:bookmarkEnd w:id="52"/>
      <w:bookmarkEnd w:id="53"/>
    </w:p>
    <w:p w14:paraId="287265DB">
      <w:bookmarkStart w:id="54" w:name="_Toc196333486"/>
      <w:r>
        <w:rPr>
          <w:rFonts w:hint="eastAsia"/>
        </w:rPr>
        <w:t>6.2.2 校准装置的计量特性要求</w:t>
      </w:r>
      <w:bookmarkEnd w:id="54"/>
    </w:p>
    <w:p w14:paraId="47BA3AC1">
      <w:pPr>
        <w:ind w:firstLine="480" w:firstLineChars="200"/>
      </w:pPr>
      <w:bookmarkStart w:id="55" w:name="_Toc196333487"/>
      <w:r>
        <w:rPr>
          <w:rFonts w:hint="eastAsia"/>
        </w:rPr>
        <w:t>校准装置的</w:t>
      </w:r>
      <w:bookmarkStart w:id="56" w:name="OLE_LINK97"/>
      <w:r>
        <w:rPr>
          <w:rFonts w:hint="eastAsia"/>
        </w:rPr>
        <w:t>标准砝码</w:t>
      </w:r>
      <w:bookmarkEnd w:id="56"/>
      <w:bookmarkStart w:id="57" w:name="OLE_LINK98"/>
      <w:r>
        <w:rPr>
          <w:rFonts w:hint="eastAsia"/>
        </w:rPr>
        <w:t>应符合JJG 99的计量要求</w:t>
      </w:r>
      <w:bookmarkEnd w:id="57"/>
      <w:r>
        <w:rPr>
          <w:rFonts w:hint="eastAsia"/>
        </w:rPr>
        <w:t>。</w:t>
      </w:r>
      <w:bookmarkEnd w:id="55"/>
    </w:p>
    <w:p w14:paraId="4E6CE0CB">
      <w:bookmarkStart w:id="58" w:name="OLE_LINK29"/>
      <w:bookmarkStart w:id="59" w:name="_Toc196333488"/>
      <w:r>
        <w:rPr>
          <w:rFonts w:hint="eastAsia"/>
        </w:rPr>
        <w:t>6.2.</w:t>
      </w:r>
      <w:bookmarkEnd w:id="58"/>
      <w:r>
        <w:rPr>
          <w:rFonts w:hint="eastAsia"/>
        </w:rPr>
        <w:t xml:space="preserve">3 </w:t>
      </w:r>
      <w:bookmarkStart w:id="60" w:name="OLE_LINK99"/>
      <w:r>
        <w:rPr>
          <w:rFonts w:hint="eastAsia"/>
        </w:rPr>
        <w:t>砝码的选择</w:t>
      </w:r>
      <w:bookmarkEnd w:id="59"/>
    </w:p>
    <w:p w14:paraId="41F8AE0D">
      <w:pPr>
        <w:jc w:val="center"/>
      </w:pPr>
      <w:r>
        <w:rPr>
          <w:rFonts w:hint="eastAsia"/>
        </w:rPr>
        <w:t>表1 校准过程中砝码的选择</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autofit"/>
        <w:tblCellMar>
          <w:top w:w="15" w:type="dxa"/>
          <w:left w:w="15" w:type="dxa"/>
          <w:bottom w:w="15" w:type="dxa"/>
          <w:right w:w="15" w:type="dxa"/>
        </w:tblCellMar>
      </w:tblPr>
      <w:tblGrid>
        <w:gridCol w:w="2894"/>
        <w:gridCol w:w="6734"/>
      </w:tblGrid>
      <w:tr w14:paraId="58B70E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15" w:type="dxa"/>
            <w:left w:w="15" w:type="dxa"/>
            <w:bottom w:w="15" w:type="dxa"/>
            <w:right w:w="15" w:type="dxa"/>
          </w:tblCellMar>
        </w:tblPrEx>
        <w:tc>
          <w:tcPr>
            <w:tcW w:w="0" w:type="auto"/>
            <w:shd w:val="clear" w:color="auto" w:fill="FFFFFF"/>
            <w:tcMar>
              <w:top w:w="120" w:type="dxa"/>
              <w:left w:w="180" w:type="dxa"/>
              <w:bottom w:w="120" w:type="dxa"/>
              <w:right w:w="180" w:type="dxa"/>
            </w:tcMar>
            <w:vAlign w:val="center"/>
          </w:tcPr>
          <w:p w14:paraId="7C3A0E8C">
            <w:pPr>
              <w:jc w:val="center"/>
              <w:rPr>
                <w:kern w:val="0"/>
              </w:rPr>
            </w:pPr>
            <w:r>
              <w:rPr>
                <w:kern w:val="0"/>
              </w:rPr>
              <w:t>Max/</w:t>
            </w:r>
            <w:r>
              <w:rPr>
                <w:i/>
                <w:iCs/>
                <w:kern w:val="0"/>
              </w:rPr>
              <w:t>d</w:t>
            </w:r>
          </w:p>
        </w:tc>
        <w:tc>
          <w:tcPr>
            <w:tcW w:w="0" w:type="auto"/>
            <w:shd w:val="clear" w:color="auto" w:fill="FFFFFF"/>
            <w:tcMar>
              <w:top w:w="120" w:type="dxa"/>
              <w:left w:w="180" w:type="dxa"/>
              <w:bottom w:w="120" w:type="dxa"/>
              <w:right w:w="180" w:type="dxa"/>
            </w:tcMar>
            <w:vAlign w:val="center"/>
          </w:tcPr>
          <w:p w14:paraId="5A4D0B4A">
            <w:pPr>
              <w:jc w:val="center"/>
              <w:rPr>
                <w:rFonts w:cs="Segoe UI"/>
                <w:kern w:val="0"/>
              </w:rPr>
            </w:pPr>
            <w:r>
              <w:rPr>
                <w:rFonts w:cs="Segoe UI"/>
                <w:kern w:val="0"/>
              </w:rPr>
              <w:t>砝码的选择</w:t>
            </w:r>
          </w:p>
        </w:tc>
      </w:tr>
      <w:tr w14:paraId="0D5485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0" w:type="auto"/>
            <w:shd w:val="clear" w:color="auto" w:fill="FFFFFF"/>
            <w:tcMar>
              <w:top w:w="120" w:type="dxa"/>
              <w:left w:w="180" w:type="dxa"/>
              <w:bottom w:w="120" w:type="dxa"/>
              <w:right w:w="180" w:type="dxa"/>
            </w:tcMar>
            <w:vAlign w:val="center"/>
          </w:tcPr>
          <w:p w14:paraId="01B7A89A">
            <w:pPr>
              <w:jc w:val="center"/>
              <w:rPr>
                <w:rFonts w:cs="Segoe UI"/>
                <w:kern w:val="0"/>
              </w:rPr>
            </w:pPr>
            <w:r>
              <w:rPr>
                <w:kern w:val="0"/>
              </w:rPr>
              <w:t>15 000&lt;Max/</w:t>
            </w:r>
            <w:r>
              <w:rPr>
                <w:i/>
                <w:iCs/>
                <w:kern w:val="0"/>
              </w:rPr>
              <w:t>d</w:t>
            </w:r>
            <w:r>
              <w:rPr>
                <w:kern w:val="0"/>
              </w:rPr>
              <w:t>≤150 000</w:t>
            </w:r>
          </w:p>
        </w:tc>
        <w:tc>
          <w:tcPr>
            <w:tcW w:w="0" w:type="auto"/>
            <w:shd w:val="clear" w:color="auto" w:fill="FFFFFF"/>
            <w:tcMar>
              <w:top w:w="120" w:type="dxa"/>
              <w:left w:w="180" w:type="dxa"/>
              <w:bottom w:w="120" w:type="dxa"/>
              <w:right w:w="180" w:type="dxa"/>
            </w:tcMar>
            <w:vAlign w:val="center"/>
          </w:tcPr>
          <w:p w14:paraId="7DCBC514">
            <w:pPr>
              <w:jc w:val="center"/>
              <w:rPr>
                <w:rFonts w:cs="Segoe UI"/>
                <w:kern w:val="0"/>
              </w:rPr>
            </w:pPr>
            <w:r>
              <w:rPr>
                <w:rFonts w:cs="Segoe UI"/>
                <w:kern w:val="0"/>
              </w:rPr>
              <w:t>对于证书中只给出标称质量值的砝码，选择</w:t>
            </w:r>
            <w:r>
              <w:rPr>
                <w:kern w:val="0"/>
              </w:rPr>
              <w:t>F</w:t>
            </w:r>
            <w:r>
              <w:rPr>
                <w:kern w:val="0"/>
                <w:vertAlign w:val="subscript"/>
              </w:rPr>
              <w:t>2</w:t>
            </w:r>
            <w:r>
              <w:rPr>
                <w:rFonts w:cs="Segoe UI"/>
                <w:kern w:val="0"/>
              </w:rPr>
              <w:t>等级及以上砝码；对于证书中给出</w:t>
            </w:r>
            <w:r>
              <w:rPr>
                <w:rFonts w:hint="eastAsia" w:cs="Segoe UI"/>
                <w:kern w:val="0"/>
              </w:rPr>
              <w:t>约定质量</w:t>
            </w:r>
            <w:r>
              <w:rPr>
                <w:rFonts w:cs="Segoe UI"/>
                <w:kern w:val="0"/>
              </w:rPr>
              <w:t>值的砝码，选择</w:t>
            </w:r>
            <w:r>
              <w:rPr>
                <w:kern w:val="0"/>
              </w:rPr>
              <w:t>M</w:t>
            </w:r>
            <w:r>
              <w:rPr>
                <w:kern w:val="0"/>
                <w:vertAlign w:val="subscript"/>
              </w:rPr>
              <w:t>1</w:t>
            </w:r>
            <w:r>
              <w:rPr>
                <w:rFonts w:cs="Segoe UI"/>
                <w:kern w:val="0"/>
              </w:rPr>
              <w:t>等级及以上砝码</w:t>
            </w:r>
          </w:p>
        </w:tc>
      </w:tr>
      <w:tr w14:paraId="31B067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0" w:type="auto"/>
            <w:shd w:val="clear" w:color="auto" w:fill="FFFFFF"/>
            <w:tcMar>
              <w:top w:w="120" w:type="dxa"/>
              <w:left w:w="180" w:type="dxa"/>
              <w:bottom w:w="120" w:type="dxa"/>
              <w:right w:w="180" w:type="dxa"/>
            </w:tcMar>
            <w:vAlign w:val="center"/>
          </w:tcPr>
          <w:p w14:paraId="7E9C26D5">
            <w:pPr>
              <w:jc w:val="center"/>
              <w:rPr>
                <w:rFonts w:cs="Segoe UI"/>
                <w:kern w:val="0"/>
              </w:rPr>
            </w:pPr>
            <w:r>
              <w:rPr>
                <w:kern w:val="0"/>
              </w:rPr>
              <w:t>Max/</w:t>
            </w:r>
            <w:r>
              <w:rPr>
                <w:i/>
                <w:iCs/>
                <w:kern w:val="0"/>
              </w:rPr>
              <w:t>d</w:t>
            </w:r>
            <w:r>
              <w:rPr>
                <w:kern w:val="0"/>
              </w:rPr>
              <w:t>≤15 000</w:t>
            </w:r>
          </w:p>
        </w:tc>
        <w:tc>
          <w:tcPr>
            <w:tcW w:w="0" w:type="auto"/>
            <w:shd w:val="clear" w:color="auto" w:fill="FFFFFF"/>
            <w:tcMar>
              <w:top w:w="120" w:type="dxa"/>
              <w:left w:w="180" w:type="dxa"/>
              <w:bottom w:w="120" w:type="dxa"/>
              <w:right w:w="180" w:type="dxa"/>
            </w:tcMar>
            <w:vAlign w:val="center"/>
          </w:tcPr>
          <w:p w14:paraId="478AC4E5">
            <w:pPr>
              <w:jc w:val="center"/>
              <w:rPr>
                <w:rFonts w:cs="Segoe UI"/>
                <w:kern w:val="0"/>
              </w:rPr>
            </w:pPr>
            <w:r>
              <w:rPr>
                <w:rFonts w:cs="Segoe UI"/>
                <w:kern w:val="0"/>
              </w:rPr>
              <w:t>对于证书中只给出标称质量值的砝码，选择</w:t>
            </w:r>
            <w:r>
              <w:rPr>
                <w:kern w:val="0"/>
              </w:rPr>
              <w:t>M</w:t>
            </w:r>
            <w:r>
              <w:rPr>
                <w:kern w:val="0"/>
                <w:vertAlign w:val="subscript"/>
              </w:rPr>
              <w:t>1</w:t>
            </w:r>
            <w:r>
              <w:rPr>
                <w:rFonts w:cs="Segoe UI"/>
                <w:kern w:val="0"/>
              </w:rPr>
              <w:t>等级及以上砝码；对于证书中给出</w:t>
            </w:r>
            <w:r>
              <w:rPr>
                <w:rFonts w:hint="eastAsia" w:cs="Segoe UI"/>
                <w:kern w:val="0"/>
              </w:rPr>
              <w:t>约定质量</w:t>
            </w:r>
            <w:r>
              <w:rPr>
                <w:rFonts w:cs="Segoe UI"/>
                <w:kern w:val="0"/>
              </w:rPr>
              <w:t>值的砝码，选择</w:t>
            </w:r>
            <w:r>
              <w:rPr>
                <w:kern w:val="0"/>
              </w:rPr>
              <w:t>M</w:t>
            </w:r>
            <w:r>
              <w:rPr>
                <w:kern w:val="0"/>
                <w:vertAlign w:val="subscript"/>
              </w:rPr>
              <w:t>2</w:t>
            </w:r>
            <w:r>
              <w:rPr>
                <w:rFonts w:cs="Segoe UI"/>
                <w:kern w:val="0"/>
              </w:rPr>
              <w:t>等级及以上砝码</w:t>
            </w:r>
          </w:p>
        </w:tc>
      </w:tr>
    </w:tbl>
    <w:p w14:paraId="577C7918">
      <w:pPr>
        <w:spacing w:line="360" w:lineRule="auto"/>
        <w:ind w:firstLine="600" w:firstLineChars="250"/>
      </w:pPr>
      <w:bookmarkStart w:id="61" w:name="_Toc196333489"/>
      <w:r>
        <w:rPr>
          <w:rFonts w:hint="eastAsia"/>
        </w:rPr>
        <w:t>（引用JJF 1847-2020中6.1.2部分。）</w:t>
      </w:r>
      <w:bookmarkEnd w:id="60"/>
      <w:bookmarkEnd w:id="61"/>
    </w:p>
    <w:p w14:paraId="5D3E65E8">
      <w:bookmarkStart w:id="62" w:name="_Toc196333490"/>
      <w:r>
        <w:t>6.2.</w:t>
      </w:r>
      <w:r>
        <w:rPr>
          <w:rFonts w:hint="eastAsia"/>
        </w:rPr>
        <w:t>4 砝码的替代</w:t>
      </w:r>
      <w:bookmarkEnd w:id="62"/>
    </w:p>
    <w:p w14:paraId="3DD86D77">
      <w:pPr>
        <w:spacing w:line="400" w:lineRule="exact"/>
        <w:ind w:firstLine="480" w:firstLineChars="200"/>
      </w:pPr>
      <w:bookmarkStart w:id="63" w:name="_Toc196333491"/>
      <w:r>
        <w:rPr>
          <w:rFonts w:hint="eastAsia"/>
        </w:rPr>
        <w:t>称重物料罐在进行校准时，使用稳定物料（不易挥发、密度稳定、无泄漏等）进行分步替代。</w:t>
      </w:r>
      <w:bookmarkEnd w:id="63"/>
    </w:p>
    <w:p w14:paraId="32EC558F">
      <w:bookmarkStart w:id="64" w:name="_Toc196333492"/>
      <w:r>
        <w:rPr>
          <w:rFonts w:hint="eastAsia"/>
        </w:rPr>
        <w:t xml:space="preserve">6.2.5 </w:t>
      </w:r>
      <w:bookmarkStart w:id="65" w:name="OLE_LINK106"/>
      <w:bookmarkStart w:id="66" w:name="OLE_LINK105"/>
      <w:r>
        <w:rPr>
          <w:rFonts w:hint="eastAsia"/>
        </w:rPr>
        <w:t>具备符合化整误差消除所用闪变点法使用的附加标准砝码。</w:t>
      </w:r>
      <w:bookmarkEnd w:id="65"/>
      <w:bookmarkEnd w:id="66"/>
      <w:r>
        <w:rPr>
          <w:rFonts w:hint="eastAsia"/>
        </w:rPr>
        <w:t>（引用</w:t>
      </w:r>
      <w:bookmarkStart w:id="67" w:name="OLE_LINK16"/>
      <w:bookmarkStart w:id="68" w:name="OLE_LINK17"/>
      <w:r>
        <w:rPr>
          <w:rFonts w:hint="eastAsia"/>
        </w:rPr>
        <w:t>JJG 539-2016 中</w:t>
      </w:r>
      <w:bookmarkEnd w:id="67"/>
      <w:bookmarkEnd w:id="68"/>
      <w:r>
        <w:rPr>
          <w:rFonts w:hint="eastAsia"/>
        </w:rPr>
        <w:t>7.1.1.3）</w:t>
      </w:r>
      <w:bookmarkEnd w:id="64"/>
      <w:bookmarkStart w:id="69" w:name="_Toc350158473"/>
    </w:p>
    <w:p w14:paraId="2F9B14EF">
      <w:pPr>
        <w:pStyle w:val="63"/>
      </w:pPr>
      <w:bookmarkStart w:id="70" w:name="_Toc11417"/>
      <w:r>
        <w:rPr>
          <w:rFonts w:hint="eastAsia"/>
        </w:rPr>
        <w:t xml:space="preserve">7 </w:t>
      </w:r>
      <w:bookmarkStart w:id="71" w:name="OLE_LINK109"/>
      <w:r>
        <w:rPr>
          <w:rFonts w:hint="eastAsia"/>
        </w:rPr>
        <w:t>校准项目和校准方法</w:t>
      </w:r>
      <w:bookmarkEnd w:id="69"/>
      <w:bookmarkEnd w:id="70"/>
      <w:bookmarkEnd w:id="71"/>
    </w:p>
    <w:p w14:paraId="6B7EE153">
      <w:pPr>
        <w:pStyle w:val="63"/>
      </w:pPr>
      <w:bookmarkStart w:id="72" w:name="_Toc2550"/>
      <w:r>
        <w:rPr>
          <w:rFonts w:hint="eastAsia"/>
        </w:rPr>
        <w:t>7.1</w:t>
      </w:r>
      <w:bookmarkStart w:id="73" w:name="OLE_LINK107"/>
      <w:bookmarkStart w:id="74" w:name="OLE_LINK108"/>
      <w:r>
        <w:rPr>
          <w:rFonts w:hint="eastAsia"/>
        </w:rPr>
        <w:t>校准项目</w:t>
      </w:r>
      <w:bookmarkEnd w:id="72"/>
      <w:bookmarkEnd w:id="73"/>
      <w:bookmarkEnd w:id="74"/>
    </w:p>
    <w:p w14:paraId="7D971872">
      <w:pPr>
        <w:spacing w:line="400" w:lineRule="exact"/>
        <w:ind w:firstLine="480" w:firstLineChars="200"/>
      </w:pPr>
      <w:r>
        <w:rPr>
          <w:rFonts w:hint="eastAsia"/>
        </w:rPr>
        <w:t>示值误差、重复性、同一载荷在不同位置的示值误差</w:t>
      </w:r>
    </w:p>
    <w:p w14:paraId="2891D1D0">
      <w:pPr>
        <w:pStyle w:val="63"/>
      </w:pPr>
      <w:bookmarkStart w:id="75" w:name="_Toc12208"/>
      <w:r>
        <w:rPr>
          <w:rFonts w:hint="eastAsia"/>
        </w:rPr>
        <w:t>7.2</w:t>
      </w:r>
      <w:bookmarkStart w:id="76" w:name="OLE_LINK110"/>
      <w:r>
        <w:rPr>
          <w:rFonts w:hint="eastAsia"/>
        </w:rPr>
        <w:t>校准方法</w:t>
      </w:r>
      <w:bookmarkEnd w:id="75"/>
      <w:bookmarkEnd w:id="76"/>
    </w:p>
    <w:p w14:paraId="7D2AF0E6">
      <w:pPr>
        <w:spacing w:line="400" w:lineRule="exact"/>
      </w:pPr>
      <w:r>
        <w:rPr>
          <w:rFonts w:hint="eastAsia"/>
        </w:rPr>
        <w:t>7.2.1 校准前的准备</w:t>
      </w:r>
    </w:p>
    <w:p w14:paraId="7368ADAC">
      <w:pPr>
        <w:spacing w:line="400" w:lineRule="exact"/>
      </w:pPr>
      <w:bookmarkStart w:id="77" w:name="OLE_LINK5"/>
      <w:r>
        <w:rPr>
          <w:rFonts w:hint="eastAsia"/>
        </w:rPr>
        <w:t>7.2.1.1</w:t>
      </w:r>
      <w:bookmarkEnd w:id="77"/>
      <w:r>
        <w:rPr>
          <w:rFonts w:hint="eastAsia"/>
        </w:rPr>
        <w:t xml:space="preserve"> 预热</w:t>
      </w:r>
    </w:p>
    <w:p w14:paraId="11DBA516">
      <w:pPr>
        <w:autoSpaceDE w:val="0"/>
        <w:autoSpaceDN w:val="0"/>
        <w:spacing w:line="440" w:lineRule="exact"/>
        <w:ind w:firstLine="480" w:firstLineChars="200"/>
        <w:rPr>
          <w:bCs/>
          <w:szCs w:val="28"/>
        </w:rPr>
      </w:pPr>
      <w:bookmarkStart w:id="78" w:name="OLE_LINK111"/>
      <w:r>
        <w:rPr>
          <w:rFonts w:hint="eastAsia"/>
          <w:bCs/>
          <w:szCs w:val="28"/>
        </w:rPr>
        <w:t>开机预热，预热时间</w:t>
      </w:r>
      <w:bookmarkEnd w:id="78"/>
      <w:r>
        <w:rPr>
          <w:rFonts w:hint="eastAsia"/>
          <w:bCs/>
          <w:szCs w:val="28"/>
        </w:rPr>
        <w:t>不低于厂家规定时间，无规定时不少于30min；</w:t>
      </w:r>
    </w:p>
    <w:p w14:paraId="3258EB60">
      <w:pPr>
        <w:autoSpaceDE w:val="0"/>
        <w:autoSpaceDN w:val="0"/>
        <w:spacing w:line="440" w:lineRule="exact"/>
      </w:pPr>
      <w:r>
        <w:rPr>
          <w:rFonts w:hint="eastAsia"/>
        </w:rPr>
        <w:t>7.2.1.2 标准载荷加载系统的安装（若适用）</w:t>
      </w:r>
    </w:p>
    <w:p w14:paraId="184A8610">
      <w:pPr>
        <w:autoSpaceDE w:val="0"/>
        <w:autoSpaceDN w:val="0"/>
        <w:spacing w:line="440" w:lineRule="exact"/>
        <w:ind w:left="199" w:leftChars="83" w:firstLine="480" w:firstLineChars="200"/>
        <w:rPr>
          <w:bCs/>
          <w:szCs w:val="28"/>
        </w:rPr>
      </w:pPr>
      <w:r>
        <w:rPr>
          <w:rFonts w:hint="eastAsia"/>
        </w:rPr>
        <w:t>a)物料罐</w:t>
      </w:r>
      <w:r>
        <w:rPr>
          <w:rFonts w:hint="eastAsia"/>
          <w:bCs/>
          <w:szCs w:val="28"/>
        </w:rPr>
        <w:t>带水平调整装置，应先调整到水平位置;</w:t>
      </w:r>
    </w:p>
    <w:p w14:paraId="7E05D286">
      <w:pPr>
        <w:autoSpaceDE w:val="0"/>
        <w:autoSpaceDN w:val="0"/>
        <w:spacing w:line="440" w:lineRule="exact"/>
        <w:ind w:firstLine="480" w:firstLineChars="200"/>
        <w:rPr>
          <w:bCs/>
          <w:szCs w:val="28"/>
        </w:rPr>
      </w:pPr>
      <w:r>
        <w:rPr>
          <w:rFonts w:hint="eastAsia"/>
          <w:bCs/>
          <w:szCs w:val="28"/>
        </w:rPr>
        <w:t>b)在物料罐上安装标准载荷加载装置，并检查其是否牢靠，水平及均匀。</w:t>
      </w:r>
    </w:p>
    <w:p w14:paraId="406A6028">
      <w:pPr>
        <w:spacing w:line="400" w:lineRule="exact"/>
      </w:pPr>
      <w:r>
        <w:rPr>
          <w:rFonts w:hint="eastAsia"/>
        </w:rPr>
        <w:t xml:space="preserve">7.2.1.3 </w:t>
      </w:r>
      <w:bookmarkStart w:id="79" w:name="OLE_LINK112"/>
      <w:r>
        <w:rPr>
          <w:rFonts w:hint="eastAsia"/>
        </w:rPr>
        <w:t>预加载</w:t>
      </w:r>
    </w:p>
    <w:p w14:paraId="4BF7B393">
      <w:pPr>
        <w:autoSpaceDE w:val="0"/>
        <w:autoSpaceDN w:val="0"/>
        <w:spacing w:line="440" w:lineRule="exact"/>
        <w:ind w:firstLine="480" w:firstLineChars="200"/>
        <w:rPr>
          <w:bCs/>
        </w:rPr>
      </w:pPr>
      <w:r>
        <w:rPr>
          <w:bCs/>
          <w:szCs w:val="28"/>
        </w:rPr>
        <w:t>将被校物料罐加载物料到</w:t>
      </w:r>
      <w:r>
        <w:rPr>
          <w:bCs/>
        </w:rPr>
        <w:t>最大</w:t>
      </w:r>
      <w:r>
        <w:rPr>
          <w:rFonts w:hint="eastAsia"/>
          <w:bCs/>
        </w:rPr>
        <w:t>秤量</w:t>
      </w:r>
      <w:r>
        <w:rPr>
          <w:bCs/>
        </w:rPr>
        <w:t>（或接近最大</w:t>
      </w:r>
      <w:r>
        <w:rPr>
          <w:rFonts w:hint="eastAsia"/>
          <w:bCs/>
        </w:rPr>
        <w:t>秤量</w:t>
      </w:r>
      <w:r>
        <w:rPr>
          <w:bCs/>
        </w:rPr>
        <w:t>），然后卸载，检查称重系统、标准</w:t>
      </w:r>
      <w:r>
        <w:rPr>
          <w:rFonts w:hint="eastAsia"/>
          <w:bCs/>
        </w:rPr>
        <w:t>载荷加载系统</w:t>
      </w:r>
      <w:r>
        <w:rPr>
          <w:bCs/>
        </w:rPr>
        <w:t>等各受力部件、仪表指示装置是否正常。预加载应不少于1次。</w:t>
      </w:r>
      <w:bookmarkEnd w:id="79"/>
    </w:p>
    <w:p w14:paraId="78B0EE75">
      <w:pPr>
        <w:spacing w:line="400" w:lineRule="exact"/>
      </w:pPr>
      <w:r>
        <w:rPr>
          <w:rFonts w:hint="eastAsia"/>
        </w:rPr>
        <w:t>7.2.1.4 零点或零点附近</w:t>
      </w:r>
    </w:p>
    <w:p w14:paraId="36B8F976">
      <w:pPr>
        <w:spacing w:line="400" w:lineRule="exact"/>
        <w:ind w:firstLine="480" w:firstLineChars="200"/>
      </w:pPr>
      <w:r>
        <w:t>有</w:t>
      </w:r>
      <w:r>
        <w:rPr>
          <w:rFonts w:hint="eastAsia"/>
        </w:rPr>
        <w:t>自动指令装置、</w:t>
      </w:r>
      <w:r>
        <w:t>零点跟踪装置的秤，</w:t>
      </w:r>
      <w:r>
        <w:rPr>
          <w:rFonts w:hint="eastAsia"/>
        </w:rPr>
        <w:t>校准零点时，添加小砝码（例如</w:t>
      </w:r>
      <w:r>
        <w:t>10</w:t>
      </w:r>
      <w:r>
        <w:rPr>
          <w:rFonts w:hint="eastAsia"/>
        </w:rPr>
        <w:t xml:space="preserve"> </w:t>
      </w:r>
      <w:r>
        <w:rPr>
          <w:rFonts w:hint="eastAsia"/>
          <w:i/>
        </w:rPr>
        <w:t>d</w:t>
      </w:r>
      <w:r>
        <w:rPr>
          <w:rFonts w:hint="eastAsia"/>
        </w:rPr>
        <w:t>）</w:t>
      </w:r>
      <w:r>
        <w:rPr>
          <w:rFonts w:hint="eastAsia"/>
          <w:iCs/>
        </w:rPr>
        <w:t>超出零点跟踪范围。</w:t>
      </w:r>
    </w:p>
    <w:p w14:paraId="7147008D">
      <w:pPr>
        <w:spacing w:line="400" w:lineRule="exact"/>
      </w:pPr>
      <w:r>
        <w:t>7.2.</w:t>
      </w:r>
      <w:r>
        <w:rPr>
          <w:rFonts w:hint="eastAsia"/>
        </w:rPr>
        <w:t>2</w:t>
      </w:r>
      <w:bookmarkStart w:id="80" w:name="OLE_LINK113"/>
      <w:r>
        <w:t>化整误差的消除</w:t>
      </w:r>
      <w:bookmarkEnd w:id="80"/>
      <w:bookmarkStart w:id="81" w:name="OLE_LINK125"/>
      <w:r>
        <w:rPr>
          <w:rFonts w:hint="eastAsia"/>
        </w:rPr>
        <w:t>（引用</w:t>
      </w:r>
      <w:bookmarkStart w:id="82" w:name="OLE_LINK126"/>
      <w:r>
        <w:t>JJG 539</w:t>
      </w:r>
      <w:r>
        <w:rPr>
          <w:rFonts w:hint="eastAsia"/>
        </w:rPr>
        <w:t>-2016</w:t>
      </w:r>
      <w:r>
        <w:t xml:space="preserve"> </w:t>
      </w:r>
      <w:r>
        <w:rPr>
          <w:rFonts w:hint="eastAsia"/>
        </w:rPr>
        <w:t>中</w:t>
      </w:r>
      <w:r>
        <w:t>7.5.</w:t>
      </w:r>
      <w:r>
        <w:rPr>
          <w:rFonts w:hint="eastAsia"/>
        </w:rPr>
        <w:t>5</w:t>
      </w:r>
      <w:bookmarkEnd w:id="82"/>
      <w:r>
        <w:rPr>
          <w:rFonts w:hint="eastAsia"/>
        </w:rPr>
        <w:t>）</w:t>
      </w:r>
      <w:bookmarkEnd w:id="81"/>
    </w:p>
    <w:p w14:paraId="4BED1583">
      <w:pPr>
        <w:spacing w:line="420" w:lineRule="exact"/>
        <w:ind w:firstLine="480" w:firstLineChars="200"/>
        <w:rPr>
          <w:color w:val="000000"/>
        </w:rPr>
      </w:pPr>
      <w:r>
        <w:rPr>
          <w:rFonts w:hint="eastAsia"/>
          <w:color w:val="000000"/>
        </w:rPr>
        <w:t>如果</w:t>
      </w:r>
      <w:r>
        <w:rPr>
          <w:bCs/>
        </w:rPr>
        <w:t>称重系统</w:t>
      </w:r>
      <w:r>
        <w:rPr>
          <w:rFonts w:hint="eastAsia"/>
          <w:color w:val="000000"/>
        </w:rPr>
        <w:t>具有扩展指示装置，则可用此装置来确定误差，若该装置在校准中使用，则应在校准证书中注明，其公式为：</w:t>
      </w:r>
    </w:p>
    <w:p w14:paraId="615F18D5">
      <w:pPr>
        <w:pStyle w:val="68"/>
        <w:spacing w:after="0" w:line="300" w:lineRule="auto"/>
        <w:ind w:right="-108" w:firstLine="480" w:firstLineChars="200"/>
        <w:jc w:val="right"/>
        <w:rPr>
          <w:rFonts w:ascii="Times New Roman" w:hAnsi="Times New Roman" w:cs="Times New Roman"/>
          <w:sz w:val="24"/>
          <w:szCs w:val="24"/>
          <w:lang w:val="en-US" w:eastAsia="zh-CN"/>
        </w:rPr>
      </w:pPr>
      <w:r>
        <w:rPr>
          <w:rFonts w:hint="eastAsia" w:ascii="Times New Roman" w:hAnsi="Times New Roman" w:cs="Times New Roman"/>
          <w:position w:val="-4"/>
          <w:sz w:val="24"/>
          <w:szCs w:val="24"/>
          <w:lang w:val="en-US" w:eastAsia="zh-CN"/>
        </w:rPr>
        <w:t xml:space="preserve"> </w:t>
      </w:r>
      <w:r>
        <w:rPr>
          <w:rFonts w:hint="eastAsia" w:ascii="Times New Roman" w:hAnsi="Times New Roman" w:cs="Times New Roman"/>
          <w:sz w:val="24"/>
          <w:szCs w:val="24"/>
          <w:lang w:val="en-US" w:eastAsia="zh-CN"/>
        </w:rPr>
        <w:t xml:space="preserve">  </w:t>
      </w:r>
      <w:bookmarkStart w:id="83" w:name="OLE_LINK119"/>
      <w:bookmarkStart w:id="84" w:name="OLE_LINK120"/>
      <w:r>
        <w:rPr>
          <w:rFonts w:hint="eastAsia" w:ascii="Times New Roman" w:hAnsi="Times New Roman" w:cs="Times New Roman"/>
          <w:position w:val="-4"/>
          <w:sz w:val="24"/>
          <w:szCs w:val="24"/>
          <w:lang w:eastAsia="zh-CN"/>
        </w:rPr>
        <w:object>
          <v:shape id="_x0000_i1025" o:spt="75" type="#_x0000_t75" style="height:12.5pt;width:48pt;" o:ole="t" filled="f" o:preferrelative="t" stroked="f" coordsize="21600,21600">
            <v:path/>
            <v:fill on="f" focussize="0,0"/>
            <v:stroke on="f" joinstyle="miter"/>
            <v:imagedata r:id="rId18" o:title=""/>
            <o:lock v:ext="edit" aspectratio="t"/>
            <w10:wrap type="none"/>
            <w10:anchorlock/>
          </v:shape>
          <o:OLEObject Type="Embed" ProgID="Equation.3" ShapeID="_x0000_i1025" DrawAspect="Content" ObjectID="_1468075725" r:id="rId17">
            <o:LockedField>false</o:LockedField>
          </o:OLEObject>
        </w:object>
      </w:r>
      <w:bookmarkEnd w:id="83"/>
      <w:bookmarkEnd w:id="84"/>
      <w:r>
        <w:rPr>
          <w:rFonts w:hint="eastAsia" w:ascii="Times New Roman" w:hAnsi="Times New Roman" w:cs="Times New Roman"/>
          <w:sz w:val="24"/>
          <w:szCs w:val="24"/>
          <w:lang w:val="en-US" w:eastAsia="zh-CN"/>
        </w:rPr>
        <w:t xml:space="preserve">                             （1）</w:t>
      </w:r>
    </w:p>
    <w:p w14:paraId="18487FD8">
      <w:pPr>
        <w:pStyle w:val="68"/>
        <w:spacing w:after="0" w:line="400" w:lineRule="exact"/>
        <w:ind w:right="-108" w:firstLine="480" w:firstLineChars="200"/>
        <w:jc w:val="left"/>
        <w:rPr>
          <w:rFonts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式中：</w:t>
      </w:r>
    </w:p>
    <w:p w14:paraId="305D3A7E">
      <w:pPr>
        <w:pStyle w:val="68"/>
        <w:spacing w:after="0" w:line="400" w:lineRule="exact"/>
        <w:ind w:right="-108" w:firstLine="480" w:firstLineChars="200"/>
        <w:jc w:val="left"/>
        <w:rPr>
          <w:rFonts w:ascii="Times New Roman" w:hAnsi="Times New Roman" w:cs="Times New Roman"/>
          <w:sz w:val="24"/>
          <w:szCs w:val="24"/>
          <w:lang w:val="en-US" w:eastAsia="zh-CN"/>
        </w:rPr>
      </w:pPr>
      <w:r>
        <w:rPr>
          <w:rFonts w:ascii="Times New Roman" w:hAnsi="Times New Roman" w:cs="Times New Roman"/>
          <w:i/>
          <w:iCs/>
          <w:sz w:val="24"/>
          <w:szCs w:val="24"/>
          <w:lang w:val="en-US" w:eastAsia="zh-CN"/>
        </w:rPr>
        <w:t>E</w:t>
      </w:r>
      <w:r>
        <w:rPr>
          <w:rFonts w:ascii="Times New Roman" w:hAnsi="Times New Roman" w:cs="Times New Roman"/>
          <w:i/>
          <w:color w:val="000000"/>
        </w:rPr>
        <w:t>—</w:t>
      </w:r>
      <w:r>
        <w:rPr>
          <w:rFonts w:ascii="Times New Roman" w:hAnsi="Times New Roman" w:cs="Times New Roman"/>
          <w:iCs/>
          <w:color w:val="000000"/>
        </w:rPr>
        <w:t>—</w:t>
      </w:r>
      <w:r>
        <w:rPr>
          <w:rFonts w:ascii="Times New Roman" w:hAnsi="Times New Roman" w:cs="Times New Roman"/>
          <w:sz w:val="24"/>
          <w:szCs w:val="24"/>
          <w:lang w:val="en-US" w:eastAsia="zh-CN"/>
        </w:rPr>
        <w:t>示值</w:t>
      </w:r>
      <w:r>
        <w:rPr>
          <w:rFonts w:ascii="Times New Roman" w:hAnsi="Times New Roman" w:cs="Times New Roman"/>
          <w:iCs/>
          <w:color w:val="000000"/>
          <w:sz w:val="24"/>
        </w:rPr>
        <w:t>误差，</w:t>
      </w:r>
      <w:r>
        <w:rPr>
          <w:rFonts w:ascii="Times New Roman" w:hAnsi="Times New Roman" w:cs="Times New Roman"/>
          <w:bCs/>
          <w:sz w:val="24"/>
        </w:rPr>
        <w:t>kg、g或t</w:t>
      </w:r>
      <w:r>
        <w:rPr>
          <w:rFonts w:ascii="Times New Roman" w:hAnsi="Times New Roman" w:cs="Times New Roman"/>
          <w:iCs/>
          <w:color w:val="000000"/>
          <w:sz w:val="24"/>
        </w:rPr>
        <w:t>；</w:t>
      </w:r>
    </w:p>
    <w:p w14:paraId="0399B005">
      <w:pPr>
        <w:pStyle w:val="68"/>
        <w:spacing w:after="0" w:line="400" w:lineRule="exact"/>
        <w:ind w:right="-108" w:firstLine="480" w:firstLineChars="200"/>
        <w:jc w:val="left"/>
        <w:rPr>
          <w:rFonts w:ascii="Times New Roman" w:hAnsi="Times New Roman" w:cs="Times New Roman"/>
          <w:sz w:val="24"/>
          <w:szCs w:val="24"/>
          <w:lang w:val="en-US" w:eastAsia="zh-CN"/>
        </w:rPr>
      </w:pPr>
      <w:r>
        <w:rPr>
          <w:rFonts w:ascii="Times New Roman" w:hAnsi="Times New Roman" w:cs="Times New Roman"/>
          <w:i/>
          <w:iCs/>
          <w:sz w:val="24"/>
          <w:szCs w:val="24"/>
          <w:lang w:val="en-US" w:eastAsia="zh-CN"/>
        </w:rPr>
        <w:t>I</w:t>
      </w:r>
      <w:r>
        <w:rPr>
          <w:rFonts w:ascii="Times New Roman" w:hAnsi="Times New Roman" w:cs="Times New Roman"/>
          <w:i/>
          <w:color w:val="000000"/>
        </w:rPr>
        <w:t>—</w:t>
      </w:r>
      <w:r>
        <w:rPr>
          <w:rFonts w:ascii="Times New Roman" w:hAnsi="Times New Roman" w:cs="Times New Roman"/>
          <w:iCs/>
          <w:color w:val="000000"/>
        </w:rPr>
        <w:t>—</w:t>
      </w:r>
      <w:r>
        <w:rPr>
          <w:rFonts w:ascii="Times New Roman" w:hAnsi="Times New Roman" w:cs="Times New Roman"/>
          <w:sz w:val="24"/>
          <w:szCs w:val="24"/>
          <w:lang w:val="en-US" w:eastAsia="zh-CN"/>
        </w:rPr>
        <w:t>示值，</w:t>
      </w:r>
      <w:r>
        <w:rPr>
          <w:rFonts w:ascii="Times New Roman" w:hAnsi="Times New Roman" w:cs="Times New Roman"/>
          <w:bCs/>
          <w:sz w:val="24"/>
        </w:rPr>
        <w:t>kg、g或t</w:t>
      </w:r>
      <w:r>
        <w:rPr>
          <w:rFonts w:ascii="Times New Roman" w:hAnsi="Times New Roman" w:cs="Times New Roman"/>
          <w:iCs/>
          <w:color w:val="000000"/>
          <w:sz w:val="24"/>
        </w:rPr>
        <w:t>；</w:t>
      </w:r>
    </w:p>
    <w:p w14:paraId="3A0264CB">
      <w:pPr>
        <w:pStyle w:val="68"/>
        <w:spacing w:after="0" w:line="400" w:lineRule="exact"/>
        <w:ind w:right="-108" w:firstLine="480" w:firstLineChars="200"/>
        <w:jc w:val="left"/>
        <w:rPr>
          <w:rFonts w:ascii="Times New Roman" w:hAnsi="Times New Roman" w:cs="Times New Roman"/>
          <w:sz w:val="24"/>
          <w:szCs w:val="24"/>
          <w:lang w:val="en-US" w:eastAsia="zh-CN"/>
        </w:rPr>
      </w:pPr>
      <w:r>
        <w:rPr>
          <w:rFonts w:ascii="Times New Roman" w:hAnsi="Times New Roman" w:cs="Times New Roman"/>
          <w:i/>
          <w:iCs/>
          <w:sz w:val="24"/>
          <w:szCs w:val="24"/>
          <w:lang w:val="en-US" w:eastAsia="zh-CN"/>
        </w:rPr>
        <w:t>L</w:t>
      </w:r>
      <w:r>
        <w:rPr>
          <w:rFonts w:ascii="Times New Roman" w:hAnsi="Times New Roman" w:cs="Times New Roman"/>
          <w:i/>
          <w:color w:val="000000"/>
        </w:rPr>
        <w:t>—</w:t>
      </w:r>
      <w:r>
        <w:rPr>
          <w:rFonts w:ascii="Times New Roman" w:hAnsi="Times New Roman" w:cs="Times New Roman"/>
          <w:iCs/>
          <w:color w:val="000000"/>
        </w:rPr>
        <w:t>—</w:t>
      </w:r>
      <w:r>
        <w:rPr>
          <w:rFonts w:ascii="Times New Roman" w:hAnsi="Times New Roman" w:cs="Times New Roman"/>
          <w:sz w:val="24"/>
          <w:szCs w:val="24"/>
          <w:lang w:val="en-US" w:eastAsia="zh-CN"/>
        </w:rPr>
        <w:t>施加的标准</w:t>
      </w:r>
      <w:r>
        <w:rPr>
          <w:rFonts w:ascii="Times New Roman" w:hAnsi="Times New Roman" w:cs="Times New Roman"/>
          <w:color w:val="000000"/>
          <w:sz w:val="24"/>
          <w:lang w:val="en-US" w:eastAsia="zh-CN"/>
        </w:rPr>
        <w:t>载荷</w:t>
      </w:r>
      <w:r>
        <w:rPr>
          <w:rFonts w:ascii="Times New Roman" w:hAnsi="Times New Roman" w:cs="Times New Roman"/>
          <w:sz w:val="24"/>
          <w:szCs w:val="24"/>
          <w:lang w:val="en-US" w:eastAsia="zh-CN"/>
        </w:rPr>
        <w:t>，</w:t>
      </w:r>
      <w:r>
        <w:rPr>
          <w:rFonts w:ascii="Times New Roman" w:hAnsi="Times New Roman" w:cs="Times New Roman"/>
          <w:bCs/>
          <w:sz w:val="24"/>
        </w:rPr>
        <w:t>kg、g或t</w:t>
      </w:r>
      <w:r>
        <w:rPr>
          <w:rFonts w:ascii="Times New Roman" w:hAnsi="Times New Roman" w:cs="Times New Roman"/>
          <w:iCs/>
          <w:color w:val="000000"/>
          <w:sz w:val="24"/>
          <w:lang w:eastAsia="zh-CN"/>
        </w:rPr>
        <w:t>。</w:t>
      </w:r>
    </w:p>
    <w:p w14:paraId="08E18356">
      <w:pPr>
        <w:pStyle w:val="68"/>
        <w:tabs>
          <w:tab w:val="left" w:pos="240"/>
        </w:tabs>
        <w:spacing w:after="0" w:line="400" w:lineRule="exact"/>
        <w:ind w:left="240" w:leftChars="100" w:right="-108" w:firstLine="480" w:firstLineChars="200"/>
        <w:jc w:val="both"/>
        <w:rPr>
          <w:rFonts w:ascii="Times New Roman" w:hAnsi="Times New Roman" w:cs="Times New Roman"/>
          <w:sz w:val="24"/>
          <w:szCs w:val="24"/>
        </w:rPr>
      </w:pPr>
      <w:r>
        <w:rPr>
          <w:rFonts w:ascii="Times New Roman" w:hAnsi="Times New Roman" w:cs="Times New Roman"/>
          <w:color w:val="000000"/>
          <w:sz w:val="24"/>
        </w:rPr>
        <w:t>对于不具备扩展指示装置的</w:t>
      </w:r>
      <w:r>
        <w:rPr>
          <w:rFonts w:ascii="Times New Roman" w:hAnsi="Times New Roman" w:cs="Times New Roman"/>
          <w:bCs/>
          <w:sz w:val="24"/>
        </w:rPr>
        <w:t>称重系统</w:t>
      </w:r>
      <w:r>
        <w:rPr>
          <w:rFonts w:ascii="Times New Roman" w:hAnsi="Times New Roman" w:cs="Times New Roman"/>
          <w:color w:val="000000"/>
          <w:sz w:val="24"/>
        </w:rPr>
        <w:t>，</w:t>
      </w:r>
      <w:r>
        <w:rPr>
          <w:rFonts w:ascii="Times New Roman" w:hAnsi="Times New Roman" w:cs="Times New Roman"/>
          <w:color w:val="000000"/>
          <w:sz w:val="24"/>
          <w:lang w:val="en-US" w:eastAsia="zh-CN"/>
        </w:rPr>
        <w:t>可</w:t>
      </w:r>
      <w:r>
        <w:rPr>
          <w:rFonts w:ascii="Times New Roman" w:hAnsi="Times New Roman" w:cs="Times New Roman"/>
          <w:color w:val="000000"/>
          <w:sz w:val="24"/>
        </w:rPr>
        <w:t>利用闪变点方法确定化整误差</w:t>
      </w:r>
      <w:r>
        <w:rPr>
          <w:rFonts w:ascii="Times New Roman" w:hAnsi="Times New Roman" w:cs="Times New Roman"/>
          <w:color w:val="000000"/>
          <w:sz w:val="24"/>
          <w:lang w:eastAsia="zh-CN"/>
        </w:rPr>
        <w:t>。</w:t>
      </w:r>
      <w:r>
        <w:rPr>
          <w:rFonts w:ascii="Times New Roman" w:hAnsi="Times New Roman" w:cs="Times New Roman"/>
          <w:sz w:val="24"/>
          <w:szCs w:val="24"/>
        </w:rPr>
        <w:t>对于</w:t>
      </w:r>
      <w:r>
        <w:rPr>
          <w:rFonts w:ascii="Times New Roman" w:hAnsi="Times New Roman" w:cs="Times New Roman"/>
          <w:bCs/>
          <w:sz w:val="24"/>
        </w:rPr>
        <w:t>称重系统</w:t>
      </w:r>
      <w:r>
        <w:rPr>
          <w:rFonts w:ascii="Times New Roman" w:hAnsi="Times New Roman" w:cs="Times New Roman"/>
          <w:color w:val="000000"/>
          <w:sz w:val="24"/>
        </w:rPr>
        <w:t>上某一确定的载荷</w:t>
      </w:r>
      <w:r>
        <w:rPr>
          <w:rFonts w:ascii="Times New Roman" w:hAnsi="Times New Roman" w:cs="Times New Roman"/>
          <w:i/>
          <w:color w:val="000000"/>
          <w:sz w:val="24"/>
        </w:rPr>
        <w:t>L</w:t>
      </w:r>
      <w:r>
        <w:rPr>
          <w:rFonts w:ascii="Times New Roman" w:hAnsi="Times New Roman" w:cs="Times New Roman"/>
          <w:color w:val="000000"/>
          <w:sz w:val="24"/>
        </w:rPr>
        <w:t>，其示值为</w:t>
      </w:r>
      <w:r>
        <w:rPr>
          <w:rFonts w:ascii="Times New Roman" w:hAnsi="Times New Roman" w:cs="Times New Roman"/>
          <w:i/>
          <w:color w:val="000000"/>
          <w:sz w:val="24"/>
        </w:rPr>
        <w:t>I</w:t>
      </w:r>
      <w:r>
        <w:rPr>
          <w:rFonts w:ascii="Times New Roman" w:hAnsi="Times New Roman" w:cs="Times New Roman"/>
          <w:color w:val="000000"/>
          <w:sz w:val="24"/>
        </w:rPr>
        <w:t>。</w:t>
      </w:r>
      <w:r>
        <w:rPr>
          <w:rFonts w:ascii="Times New Roman" w:hAnsi="Times New Roman" w:cs="Times New Roman"/>
          <w:sz w:val="24"/>
          <w:szCs w:val="24"/>
        </w:rPr>
        <w:t>逐一加放</w:t>
      </w:r>
      <w:r>
        <w:rPr>
          <w:rFonts w:ascii="Times New Roman" w:hAnsi="Times New Roman" w:cs="Times New Roman"/>
          <w:sz w:val="24"/>
          <w:szCs w:val="24"/>
          <w:lang w:val="en-US" w:eastAsia="zh-CN" w:bidi="en-US"/>
        </w:rPr>
        <w:t>0.1</w:t>
      </w:r>
      <w:r>
        <w:rPr>
          <w:rFonts w:hint="eastAsia" w:ascii="Times New Roman" w:hAnsi="Times New Roman" w:cs="Times New Roman"/>
          <w:sz w:val="24"/>
          <w:szCs w:val="24"/>
          <w:lang w:val="en-US" w:eastAsia="zh-CN" w:bidi="en-US"/>
        </w:rPr>
        <w:t xml:space="preserve"> </w:t>
      </w:r>
      <w:r>
        <w:rPr>
          <w:rFonts w:ascii="Times New Roman" w:hAnsi="Times New Roman" w:cs="Times New Roman"/>
          <w:i/>
          <w:iCs/>
          <w:sz w:val="24"/>
          <w:szCs w:val="24"/>
          <w:lang w:val="en-US" w:bidi="en-US"/>
        </w:rPr>
        <w:t>d</w:t>
      </w:r>
      <w:r>
        <w:rPr>
          <w:rFonts w:ascii="Times New Roman" w:hAnsi="Times New Roman" w:cs="Times New Roman"/>
          <w:sz w:val="24"/>
          <w:szCs w:val="24"/>
        </w:rPr>
        <w:t>的附加</w:t>
      </w:r>
      <w:r>
        <w:rPr>
          <w:rFonts w:ascii="Times New Roman" w:hAnsi="Times New Roman" w:cs="Times New Roman"/>
          <w:sz w:val="24"/>
          <w:szCs w:val="24"/>
          <w:lang w:val="en-US" w:eastAsia="zh-CN"/>
        </w:rPr>
        <w:t>载荷</w:t>
      </w:r>
      <w:r>
        <w:rPr>
          <w:rFonts w:ascii="Times New Roman" w:hAnsi="Times New Roman" w:cs="Times New Roman"/>
          <w:sz w:val="24"/>
          <w:szCs w:val="24"/>
        </w:rPr>
        <w:t>，直至示值明显地增加了一个，变成（</w:t>
      </w:r>
      <w:r>
        <w:rPr>
          <w:rFonts w:ascii="Times New Roman" w:hAnsi="Times New Roman" w:cs="Times New Roman"/>
          <w:i/>
          <w:sz w:val="24"/>
          <w:szCs w:val="24"/>
          <w:lang w:val="en-US"/>
        </w:rPr>
        <w:t>I</w:t>
      </w:r>
      <w:r>
        <w:rPr>
          <w:rFonts w:ascii="Times New Roman" w:hAnsi="Times New Roman" w:cs="Times New Roman"/>
          <w:sz w:val="24"/>
          <w:szCs w:val="24"/>
        </w:rPr>
        <w:t>+</w:t>
      </w:r>
      <w:r>
        <w:rPr>
          <w:rFonts w:ascii="Times New Roman" w:hAnsi="Times New Roman" w:cs="Times New Roman"/>
          <w:i/>
          <w:iCs/>
          <w:sz w:val="24"/>
          <w:szCs w:val="24"/>
          <w:lang w:val="en-US" w:bidi="en-US"/>
        </w:rPr>
        <w:t>d</w:t>
      </w:r>
      <w:r>
        <w:rPr>
          <w:rFonts w:ascii="Times New Roman" w:hAnsi="Times New Roman" w:cs="Times New Roman"/>
          <w:sz w:val="24"/>
          <w:szCs w:val="24"/>
        </w:rPr>
        <w:t>）。所加的附加</w:t>
      </w:r>
      <w:r>
        <w:rPr>
          <w:rFonts w:ascii="Times New Roman" w:hAnsi="Times New Roman" w:cs="Times New Roman"/>
          <w:sz w:val="24"/>
          <w:szCs w:val="24"/>
          <w:lang w:val="en-US" w:eastAsia="zh-CN"/>
        </w:rPr>
        <w:t>载荷</w:t>
      </w:r>
      <w:r>
        <w:rPr>
          <w:rFonts w:ascii="Times New Roman" w:hAnsi="Times New Roman" w:cs="Times New Roman"/>
          <w:sz w:val="24"/>
          <w:szCs w:val="24"/>
        </w:rPr>
        <w:t>为</w:t>
      </w:r>
      <w:r>
        <w:rPr>
          <w:rFonts w:ascii="Times New Roman" w:hAnsi="Times New Roman" w:cs="Times New Roman"/>
          <w:sz w:val="24"/>
          <w:szCs w:val="24"/>
          <w:lang w:val="en-US" w:eastAsia="zh-CN"/>
        </w:rPr>
        <w:t>Δ</w:t>
      </w:r>
      <w:r>
        <w:rPr>
          <w:rFonts w:ascii="Times New Roman" w:hAnsi="Times New Roman" w:cs="Times New Roman"/>
          <w:i/>
          <w:iCs/>
          <w:sz w:val="24"/>
          <w:szCs w:val="24"/>
          <w:lang w:val="en-US" w:eastAsia="zh-CN"/>
        </w:rPr>
        <w:t>L</w:t>
      </w:r>
      <w:r>
        <w:rPr>
          <w:rFonts w:ascii="Times New Roman" w:hAnsi="Times New Roman" w:cs="Times New Roman"/>
          <w:sz w:val="24"/>
          <w:szCs w:val="24"/>
        </w:rPr>
        <w:t>，化整前的示值为</w:t>
      </w:r>
      <w:r>
        <w:rPr>
          <w:rFonts w:ascii="Times New Roman" w:hAnsi="Times New Roman" w:cs="Times New Roman"/>
          <w:i/>
          <w:iCs/>
          <w:sz w:val="24"/>
          <w:szCs w:val="24"/>
          <w:lang w:val="en-US" w:eastAsia="zh-CN" w:bidi="en-US"/>
        </w:rPr>
        <w:t>P</w:t>
      </w:r>
      <w:r>
        <w:rPr>
          <w:rFonts w:ascii="Times New Roman" w:hAnsi="Times New Roman" w:cs="Times New Roman"/>
          <w:sz w:val="24"/>
          <w:szCs w:val="24"/>
        </w:rPr>
        <w:t>，则</w:t>
      </w:r>
      <w:r>
        <w:rPr>
          <w:rFonts w:ascii="Times New Roman" w:hAnsi="Times New Roman" w:cs="Times New Roman"/>
          <w:i/>
          <w:iCs/>
          <w:sz w:val="24"/>
          <w:szCs w:val="24"/>
          <w:lang w:val="en-US" w:eastAsia="zh-CN" w:bidi="en-US"/>
        </w:rPr>
        <w:t>P</w:t>
      </w:r>
      <w:r>
        <w:rPr>
          <w:rFonts w:ascii="Times New Roman" w:hAnsi="Times New Roman" w:cs="Times New Roman"/>
          <w:sz w:val="24"/>
          <w:szCs w:val="24"/>
        </w:rPr>
        <w:t>由</w:t>
      </w:r>
      <w:r>
        <w:rPr>
          <w:rFonts w:ascii="Times New Roman" w:hAnsi="Times New Roman"/>
          <w:color w:val="000000"/>
          <w:sz w:val="24"/>
        </w:rPr>
        <w:t>下列</w:t>
      </w:r>
      <w:r>
        <w:rPr>
          <w:rFonts w:ascii="Times New Roman" w:hAnsi="Times New Roman" w:cs="Times New Roman"/>
          <w:sz w:val="24"/>
          <w:szCs w:val="24"/>
        </w:rPr>
        <w:t>公式给出：</w:t>
      </w:r>
    </w:p>
    <w:p w14:paraId="4E782793">
      <w:pPr>
        <w:pStyle w:val="67"/>
        <w:tabs>
          <w:tab w:val="left" w:pos="6150"/>
        </w:tabs>
        <w:spacing w:line="300" w:lineRule="auto"/>
        <w:ind w:right="-105"/>
        <w:jc w:val="right"/>
        <w:rPr>
          <w:sz w:val="24"/>
          <w:szCs w:val="24"/>
        </w:rPr>
      </w:pPr>
      <w:r>
        <w:rPr>
          <w:rFonts w:hint="eastAsia"/>
          <w:position w:val="-6"/>
          <w:sz w:val="24"/>
          <w:szCs w:val="24"/>
        </w:rPr>
        <w:t xml:space="preserve">            </w:t>
      </w:r>
      <w:r>
        <w:rPr>
          <w:position w:val="-6"/>
          <w:sz w:val="24"/>
          <w:szCs w:val="24"/>
          <w:lang w:eastAsia="zh-TW"/>
        </w:rPr>
        <w:object>
          <v:shape id="_x0000_i1026" o:spt="75" type="#_x0000_t75" style="height:14pt;width:84.5pt;" o:ole="t" filled="f" o:preferrelative="t" stroked="f" coordsize="21600,21600">
            <v:path/>
            <v:fill on="f" focussize="0,0"/>
            <v:stroke on="f" joinstyle="miter"/>
            <v:imagedata r:id="rId20" o:title=""/>
            <o:lock v:ext="edit" aspectratio="f"/>
            <w10:wrap type="none"/>
            <w10:anchorlock/>
          </v:shape>
          <o:OLEObject Type="Embed" ProgID="Equation.3" ShapeID="_x0000_i1026" DrawAspect="Content" ObjectID="_1468075726" r:id="rId19">
            <o:LockedField>false</o:LockedField>
          </o:OLEObject>
        </w:object>
      </w:r>
      <w:r>
        <w:rPr>
          <w:rFonts w:hint="eastAsia"/>
          <w:position w:val="-6"/>
          <w:sz w:val="24"/>
          <w:szCs w:val="24"/>
        </w:rPr>
        <w:t xml:space="preserve">   </w:t>
      </w:r>
      <w:r>
        <w:rPr>
          <w:sz w:val="24"/>
          <w:szCs w:val="24"/>
          <w:lang w:eastAsia="zh-TW"/>
        </w:rPr>
        <w:tab/>
      </w:r>
      <w:r>
        <w:rPr>
          <w:rFonts w:hint="eastAsia"/>
          <w:sz w:val="24"/>
          <w:szCs w:val="24"/>
        </w:rPr>
        <w:t>（2）</w:t>
      </w:r>
    </w:p>
    <w:p w14:paraId="7293081E">
      <w:pPr>
        <w:pStyle w:val="68"/>
        <w:spacing w:after="0" w:line="400" w:lineRule="exact"/>
        <w:ind w:right="-108" w:firstLine="480" w:firstLineChars="200"/>
        <w:jc w:val="both"/>
        <w:rPr>
          <w:rFonts w:ascii="Times New Roman" w:hAnsi="Times New Roman" w:cs="Times New Roman"/>
          <w:sz w:val="24"/>
          <w:szCs w:val="24"/>
        </w:rPr>
      </w:pPr>
      <w:r>
        <w:rPr>
          <w:rFonts w:ascii="Times New Roman" w:hAnsi="Times New Roman" w:cs="Times New Roman"/>
          <w:sz w:val="24"/>
          <w:szCs w:val="24"/>
        </w:rPr>
        <w:t>化整前的误差</w:t>
      </w:r>
      <w:r>
        <w:rPr>
          <w:rFonts w:hint="eastAsia" w:ascii="Times New Roman" w:hAnsi="Times New Roman" w:cs="Times New Roman"/>
          <w:sz w:val="24"/>
          <w:szCs w:val="24"/>
          <w:lang w:val="en-US" w:eastAsia="zh-CN"/>
        </w:rPr>
        <w:t>为</w:t>
      </w:r>
      <w:r>
        <w:rPr>
          <w:rFonts w:ascii="Times New Roman" w:hAnsi="Times New Roman" w:cs="Times New Roman"/>
          <w:sz w:val="24"/>
          <w:szCs w:val="24"/>
        </w:rPr>
        <w:t>：</w:t>
      </w:r>
    </w:p>
    <w:p w14:paraId="0DAB5F50">
      <w:pPr>
        <w:pStyle w:val="67"/>
        <w:tabs>
          <w:tab w:val="left" w:pos="11375"/>
        </w:tabs>
        <w:wordWrap w:val="0"/>
        <w:spacing w:line="300" w:lineRule="auto"/>
        <w:ind w:right="-105"/>
        <w:jc w:val="right"/>
        <w:rPr>
          <w:position w:val="-6"/>
          <w:sz w:val="24"/>
          <w:szCs w:val="24"/>
        </w:rPr>
      </w:pPr>
      <w:r>
        <w:rPr>
          <w:rFonts w:hint="eastAsia"/>
          <w:position w:val="-6"/>
          <w:sz w:val="24"/>
          <w:szCs w:val="24"/>
        </w:rPr>
        <w:t xml:space="preserve">                      </w:t>
      </w:r>
      <w:bookmarkStart w:id="85" w:name="OLE_LINK121"/>
      <w:bookmarkStart w:id="86" w:name="OLE_LINK122"/>
      <w:r>
        <w:rPr>
          <w:position w:val="-6"/>
          <w:sz w:val="24"/>
          <w:szCs w:val="24"/>
          <w:lang w:eastAsia="zh-TW"/>
        </w:rPr>
        <w:object>
          <v:shape id="_x0000_i1027" o:spt="75" type="#_x0000_t75" style="height:14pt;width:135.5pt;" o:ole="t" filled="f" o:preferrelative="t" stroked="f" coordsize="21600,21600">
            <v:path/>
            <v:fill on="f" focussize="0,0"/>
            <v:stroke on="f" joinstyle="miter"/>
            <v:imagedata r:id="rId22" o:title=""/>
            <o:lock v:ext="edit" aspectratio="f"/>
            <w10:wrap type="none"/>
            <w10:anchorlock/>
          </v:shape>
          <o:OLEObject Type="Embed" ProgID="Equation.3" ShapeID="_x0000_i1027" DrawAspect="Content" ObjectID="_1468075727" r:id="rId21">
            <o:LockedField>false</o:LockedField>
          </o:OLEObject>
        </w:object>
      </w:r>
      <w:bookmarkEnd w:id="85"/>
      <w:bookmarkEnd w:id="86"/>
      <w:r>
        <w:rPr>
          <w:rFonts w:hint="eastAsia"/>
          <w:position w:val="-6"/>
          <w:sz w:val="24"/>
          <w:szCs w:val="24"/>
        </w:rPr>
        <w:t xml:space="preserve">                     （3）</w:t>
      </w:r>
    </w:p>
    <w:p w14:paraId="02742FA5">
      <w:pPr>
        <w:spacing w:line="360" w:lineRule="auto"/>
        <w:ind w:firstLine="480"/>
        <w:rPr>
          <w:color w:val="000000"/>
        </w:rPr>
      </w:pPr>
      <w:r>
        <w:rPr>
          <w:rFonts w:hint="eastAsia"/>
          <w:color w:val="000000"/>
        </w:rPr>
        <w:t>式中：</w:t>
      </w:r>
    </w:p>
    <w:p w14:paraId="3E548D88">
      <w:pPr>
        <w:spacing w:line="360" w:lineRule="auto"/>
        <w:ind w:firstLine="480"/>
        <w:rPr>
          <w:color w:val="000000"/>
        </w:rPr>
      </w:pPr>
      <w:r>
        <w:rPr>
          <w:i/>
          <w:color w:val="000000"/>
        </w:rPr>
        <w:t>P —</w:t>
      </w:r>
      <w:r>
        <w:rPr>
          <w:iCs/>
          <w:color w:val="000000"/>
        </w:rPr>
        <w:t>—</w:t>
      </w:r>
      <w:r>
        <w:rPr>
          <w:rFonts w:hint="eastAsia"/>
          <w:bCs/>
          <w:color w:val="000000"/>
        </w:rPr>
        <w:t>化整前的</w:t>
      </w:r>
      <w:r>
        <w:rPr>
          <w:rFonts w:hint="eastAsia"/>
          <w:color w:val="000000"/>
        </w:rPr>
        <w:t>示值，</w:t>
      </w:r>
      <w:r>
        <w:rPr>
          <w:bCs/>
        </w:rPr>
        <w:t>kg、g或t</w:t>
      </w:r>
      <w:r>
        <w:rPr>
          <w:iCs/>
          <w:color w:val="000000"/>
        </w:rPr>
        <w:t>；</w:t>
      </w:r>
    </w:p>
    <w:p w14:paraId="4CC663EA">
      <w:pPr>
        <w:spacing w:line="360" w:lineRule="auto"/>
        <w:ind w:firstLine="480"/>
        <w:rPr>
          <w:color w:val="000000"/>
        </w:rPr>
      </w:pPr>
      <w:r>
        <w:rPr>
          <w:i/>
          <w:color w:val="000000"/>
        </w:rPr>
        <w:t>d —</w:t>
      </w:r>
      <w:r>
        <w:rPr>
          <w:iCs/>
          <w:color w:val="000000"/>
        </w:rPr>
        <w:t>—</w:t>
      </w:r>
      <w:r>
        <w:rPr>
          <w:rFonts w:hint="eastAsia"/>
          <w:color w:val="000000"/>
        </w:rPr>
        <w:t>分度值，</w:t>
      </w:r>
      <w:r>
        <w:rPr>
          <w:bCs/>
        </w:rPr>
        <w:t>kg、g或t</w:t>
      </w:r>
      <w:r>
        <w:rPr>
          <w:iCs/>
          <w:color w:val="000000"/>
        </w:rPr>
        <w:t>；</w:t>
      </w:r>
    </w:p>
    <w:p w14:paraId="71F3D9C0">
      <w:pPr>
        <w:spacing w:line="360" w:lineRule="auto"/>
        <w:ind w:firstLine="480"/>
        <w:rPr>
          <w:color w:val="000000"/>
        </w:rPr>
      </w:pPr>
      <w:r>
        <w:rPr>
          <w:color w:val="000000"/>
        </w:rPr>
        <w:t>∆</w:t>
      </w:r>
      <w:r>
        <w:rPr>
          <w:i/>
          <w:color w:val="000000"/>
        </w:rPr>
        <w:t>L—</w:t>
      </w:r>
      <w:r>
        <w:rPr>
          <w:iCs/>
          <w:color w:val="000000"/>
        </w:rPr>
        <w:t>—</w:t>
      </w:r>
      <w:r>
        <w:rPr>
          <w:rFonts w:hint="eastAsia"/>
          <w:color w:val="000000"/>
        </w:rPr>
        <w:t>附加载荷，</w:t>
      </w:r>
      <w:r>
        <w:rPr>
          <w:bCs/>
        </w:rPr>
        <w:t>kg、g或t</w:t>
      </w:r>
      <w:r>
        <w:rPr>
          <w:rFonts w:hint="eastAsia"/>
          <w:bCs/>
        </w:rPr>
        <w:t>。</w:t>
      </w:r>
    </w:p>
    <w:p w14:paraId="32F5A179">
      <w:pPr>
        <w:spacing w:line="400" w:lineRule="exact"/>
      </w:pPr>
      <w:r>
        <w:t>7.2.</w:t>
      </w:r>
      <w:r>
        <w:rPr>
          <w:rFonts w:hint="eastAsia"/>
        </w:rPr>
        <w:t>3</w:t>
      </w:r>
      <w:r>
        <w:t xml:space="preserve"> 示值误差</w:t>
      </w:r>
      <w:bookmarkStart w:id="87" w:name="OLE_LINK123"/>
      <w:bookmarkStart w:id="88" w:name="OLE_LINK124"/>
      <w:r>
        <w:t>（引用</w:t>
      </w:r>
      <w:r>
        <w:rPr>
          <w:rFonts w:hint="eastAsia"/>
        </w:rPr>
        <w:t>JJG 539-2016 中7.5.7.7</w:t>
      </w:r>
      <w:r>
        <w:t>）</w:t>
      </w:r>
      <w:bookmarkEnd w:id="87"/>
      <w:bookmarkEnd w:id="88"/>
    </w:p>
    <w:p w14:paraId="14406937">
      <w:pPr>
        <w:widowControl w:val="0"/>
        <w:autoSpaceDE w:val="0"/>
        <w:autoSpaceDN w:val="0"/>
        <w:spacing w:line="480" w:lineRule="exact"/>
        <w:ind w:left="240" w:leftChars="100" w:firstLine="480" w:firstLineChars="200"/>
      </w:pPr>
      <w:bookmarkStart w:id="89" w:name="OLE_LINK114"/>
      <w:r>
        <w:rPr>
          <w:rFonts w:hint="eastAsia"/>
        </w:rPr>
        <w:t>方法一：</w:t>
      </w:r>
      <w:bookmarkStart w:id="90" w:name="OLE_LINK6"/>
      <w:r>
        <w:rPr>
          <w:rFonts w:hint="eastAsia"/>
        </w:rPr>
        <w:t>全量程</w:t>
      </w:r>
      <w:bookmarkEnd w:id="90"/>
      <w:r>
        <w:rPr>
          <w:rFonts w:hint="eastAsia"/>
        </w:rPr>
        <w:t>示值误差校准。</w:t>
      </w:r>
    </w:p>
    <w:bookmarkEnd w:id="89"/>
    <w:p w14:paraId="061116AF">
      <w:pPr>
        <w:widowControl w:val="0"/>
        <w:autoSpaceDE w:val="0"/>
        <w:autoSpaceDN w:val="0"/>
        <w:spacing w:line="480" w:lineRule="exact"/>
        <w:ind w:left="240" w:leftChars="100" w:firstLine="480" w:firstLineChars="200"/>
      </w:pPr>
      <w:bookmarkStart w:id="91" w:name="OLE_LINK115"/>
      <w:bookmarkStart w:id="92" w:name="OLE_LINK116"/>
      <w:r>
        <w:rPr>
          <w:rFonts w:hint="eastAsia"/>
        </w:rPr>
        <w:t>a）从零点开始施加</w:t>
      </w:r>
      <w:bookmarkStart w:id="93" w:name="OLE_LINK30"/>
      <w:r>
        <w:rPr>
          <w:rFonts w:hint="eastAsia"/>
        </w:rPr>
        <w:t>标准载荷单元</w:t>
      </w:r>
      <w:bookmarkEnd w:id="93"/>
      <w:r>
        <w:rPr>
          <w:rFonts w:hint="eastAsia"/>
        </w:rPr>
        <w:t>，校准该载荷下的误差，然后卸去</w:t>
      </w:r>
      <w:bookmarkStart w:id="94" w:name="OLE_LINK65"/>
      <w:r>
        <w:rPr>
          <w:rFonts w:hint="eastAsia"/>
        </w:rPr>
        <w:t>标准载荷单元</w:t>
      </w:r>
      <w:bookmarkEnd w:id="94"/>
      <w:r>
        <w:rPr>
          <w:rFonts w:hint="eastAsia"/>
        </w:rPr>
        <w:t>，返回零点；</w:t>
      </w:r>
    </w:p>
    <w:p w14:paraId="589FF7C9">
      <w:pPr>
        <w:widowControl w:val="0"/>
        <w:autoSpaceDE w:val="0"/>
        <w:autoSpaceDN w:val="0"/>
        <w:spacing w:line="480" w:lineRule="exact"/>
        <w:ind w:left="240" w:leftChars="100" w:firstLine="480" w:firstLineChars="200"/>
      </w:pPr>
      <w:r>
        <w:rPr>
          <w:rFonts w:hint="eastAsia"/>
        </w:rPr>
        <w:t>b）用物料取代前面所加</w:t>
      </w:r>
      <w:bookmarkStart w:id="95" w:name="OLE_LINK33"/>
      <w:bookmarkStart w:id="96" w:name="OLE_LINK32"/>
      <w:r>
        <w:rPr>
          <w:rFonts w:hint="eastAsia"/>
        </w:rPr>
        <w:t>标准载荷单元</w:t>
      </w:r>
      <w:bookmarkEnd w:id="95"/>
      <w:bookmarkEnd w:id="96"/>
      <w:r>
        <w:rPr>
          <w:rFonts w:hint="eastAsia"/>
        </w:rPr>
        <w:t>，并调整给出大约相同的示值；</w:t>
      </w:r>
    </w:p>
    <w:p w14:paraId="0BF1CD6A">
      <w:pPr>
        <w:widowControl w:val="0"/>
        <w:autoSpaceDE w:val="0"/>
        <w:autoSpaceDN w:val="0"/>
        <w:spacing w:line="480" w:lineRule="exact"/>
        <w:ind w:left="240" w:leftChars="100" w:firstLine="480" w:firstLineChars="200"/>
      </w:pPr>
      <w:r>
        <w:rPr>
          <w:rFonts w:hint="eastAsia"/>
        </w:rPr>
        <w:t>c）再施加</w:t>
      </w:r>
      <w:bookmarkStart w:id="97" w:name="OLE_LINK35"/>
      <w:bookmarkStart w:id="98" w:name="OLE_LINK34"/>
      <w:r>
        <w:rPr>
          <w:rFonts w:hint="eastAsia"/>
        </w:rPr>
        <w:t>标准载荷单元</w:t>
      </w:r>
      <w:bookmarkEnd w:id="97"/>
      <w:bookmarkEnd w:id="98"/>
      <w:r>
        <w:rPr>
          <w:rFonts w:hint="eastAsia"/>
        </w:rPr>
        <w:t>，校准施加载荷下的误差，然后卸去标准载荷单元；</w:t>
      </w:r>
    </w:p>
    <w:p w14:paraId="5662047E">
      <w:pPr>
        <w:widowControl w:val="0"/>
        <w:autoSpaceDE w:val="0"/>
        <w:autoSpaceDN w:val="0"/>
        <w:spacing w:line="480" w:lineRule="exact"/>
        <w:ind w:left="240" w:leftChars="100" w:firstLine="480" w:firstLineChars="200"/>
      </w:pPr>
      <w:r>
        <w:rPr>
          <w:rFonts w:hint="eastAsia"/>
        </w:rPr>
        <w:t>d</w:t>
      </w:r>
      <w:bookmarkStart w:id="99" w:name="OLE_LINK36"/>
      <w:r>
        <w:rPr>
          <w:rFonts w:hint="eastAsia"/>
        </w:rPr>
        <w:t>）</w:t>
      </w:r>
      <w:bookmarkEnd w:id="99"/>
      <w:r>
        <w:rPr>
          <w:rFonts w:hint="eastAsia"/>
        </w:rPr>
        <w:t>重复上述 b）、c）操作，直至达到最大秤量；</w:t>
      </w:r>
    </w:p>
    <w:p w14:paraId="09533D54">
      <w:pPr>
        <w:widowControl w:val="0"/>
        <w:autoSpaceDE w:val="0"/>
        <w:autoSpaceDN w:val="0"/>
        <w:spacing w:line="480" w:lineRule="exact"/>
        <w:ind w:left="240" w:leftChars="100" w:firstLine="480" w:firstLineChars="200"/>
      </w:pPr>
      <w:bookmarkStart w:id="100" w:name="OLE_LINK61"/>
      <w:r>
        <w:rPr>
          <w:rFonts w:hint="eastAsia"/>
        </w:rPr>
        <w:t>e）记录每次读数。</w:t>
      </w:r>
    </w:p>
    <w:p w14:paraId="5964740A">
      <w:pPr>
        <w:widowControl w:val="0"/>
        <w:autoSpaceDE w:val="0"/>
        <w:autoSpaceDN w:val="0"/>
        <w:spacing w:line="480" w:lineRule="exact"/>
        <w:ind w:left="240" w:leftChars="100" w:firstLine="480" w:firstLineChars="200"/>
      </w:pPr>
      <w:r>
        <w:rPr>
          <w:rFonts w:hint="eastAsia"/>
        </w:rPr>
        <w:t>替代方法详细内容参照JJF 1847-2020附录B.2，替代载荷的不确定度计算参照JJF 1847-2020附录B.3。</w:t>
      </w:r>
    </w:p>
    <w:p w14:paraId="7DC48A22">
      <w:pPr>
        <w:widowControl w:val="0"/>
        <w:autoSpaceDE w:val="0"/>
        <w:autoSpaceDN w:val="0"/>
        <w:spacing w:line="480" w:lineRule="exact"/>
        <w:ind w:left="240" w:leftChars="100" w:firstLine="480" w:firstLineChars="200"/>
      </w:pPr>
      <w:r>
        <w:rPr>
          <w:rFonts w:hint="eastAsia"/>
        </w:rPr>
        <w:t>在进行全量程示值误差校准时，一组标准载荷单元质量值不少于</w:t>
      </w:r>
      <w:bookmarkStart w:id="101" w:name="OLE_LINK311"/>
      <w:r>
        <w:rPr>
          <w:rFonts w:hint="eastAsia"/>
        </w:rPr>
        <w:t>5%的最大承载量</w:t>
      </w:r>
      <w:bookmarkEnd w:id="101"/>
      <w:r>
        <w:rPr>
          <w:rFonts w:hint="eastAsia"/>
        </w:rPr>
        <w:t>。并且在进行全量程校准时，应先观察其</w:t>
      </w:r>
      <w:bookmarkStart w:id="102" w:name="OLE_LINK303"/>
      <w:r>
        <w:rPr>
          <w:rFonts w:hint="eastAsia"/>
        </w:rPr>
        <w:t>重复性误差</w:t>
      </w:r>
      <w:bookmarkEnd w:id="102"/>
      <w:r>
        <w:rPr>
          <w:rFonts w:hint="eastAsia"/>
        </w:rPr>
        <w:t>和</w:t>
      </w:r>
      <w:bookmarkStart w:id="103" w:name="OLE_LINK305"/>
      <w:bookmarkStart w:id="104" w:name="OLE_LINK304"/>
      <w:r>
        <w:rPr>
          <w:rFonts w:hint="eastAsia"/>
        </w:rPr>
        <w:t>同一载荷在不同位置</w:t>
      </w:r>
      <w:bookmarkStart w:id="105" w:name="OLE_LINK86"/>
      <w:r>
        <w:rPr>
          <w:rFonts w:hint="eastAsia"/>
        </w:rPr>
        <w:t>（若适用）</w:t>
      </w:r>
      <w:bookmarkEnd w:id="105"/>
      <w:r>
        <w:rPr>
          <w:rFonts w:hint="eastAsia"/>
        </w:rPr>
        <w:t>误差</w:t>
      </w:r>
      <w:bookmarkEnd w:id="103"/>
      <w:bookmarkEnd w:id="104"/>
      <w:r>
        <w:rPr>
          <w:rFonts w:hint="eastAsia"/>
        </w:rPr>
        <w:t>，</w:t>
      </w:r>
      <w:bookmarkStart w:id="106" w:name="OLE_LINK21"/>
      <w:bookmarkStart w:id="107" w:name="OLE_LINK136"/>
      <w:r>
        <w:rPr>
          <w:rFonts w:hint="eastAsia"/>
        </w:rPr>
        <w:t>建议重复性误差在</w:t>
      </w:r>
      <w:bookmarkStart w:id="108" w:name="OLE_LINK307"/>
      <w:bookmarkStart w:id="109" w:name="OLE_LINK306"/>
      <w:r>
        <w:rPr>
          <w:rFonts w:hint="eastAsia"/>
        </w:rPr>
        <w:t>0.3 d</w:t>
      </w:r>
      <w:bookmarkEnd w:id="106"/>
      <w:bookmarkEnd w:id="107"/>
      <w:r>
        <w:rPr>
          <w:rFonts w:hint="eastAsia"/>
        </w:rPr>
        <w:t>之内</w:t>
      </w:r>
      <w:bookmarkEnd w:id="108"/>
      <w:bookmarkEnd w:id="109"/>
      <w:r>
        <w:rPr>
          <w:rFonts w:hint="eastAsia"/>
        </w:rPr>
        <w:t>，</w:t>
      </w:r>
      <w:bookmarkStart w:id="110" w:name="OLE_LINK308"/>
      <w:r>
        <w:rPr>
          <w:rFonts w:hint="eastAsia"/>
        </w:rPr>
        <w:t>同一载荷在不同位置误差</w:t>
      </w:r>
      <w:bookmarkEnd w:id="110"/>
      <w:r>
        <w:rPr>
          <w:rFonts w:hint="eastAsia"/>
        </w:rPr>
        <w:t>在0.2 d之内。</w:t>
      </w:r>
    </w:p>
    <w:p w14:paraId="77F426C5">
      <w:pPr>
        <w:widowControl w:val="0"/>
        <w:autoSpaceDE w:val="0"/>
        <w:autoSpaceDN w:val="0"/>
        <w:spacing w:line="480" w:lineRule="exact"/>
        <w:ind w:left="240" w:leftChars="100" w:firstLine="480" w:firstLineChars="200"/>
      </w:pPr>
      <w:r>
        <w:rPr>
          <w:rFonts w:hint="eastAsia"/>
        </w:rPr>
        <w:t>注：上述建议值为参考值，实际校准时应根据称重系统的分度值、使用要求等因素综合确定。</w:t>
      </w:r>
    </w:p>
    <w:bookmarkEnd w:id="100"/>
    <w:p w14:paraId="6C804D79">
      <w:pPr>
        <w:widowControl w:val="0"/>
        <w:autoSpaceDE w:val="0"/>
        <w:autoSpaceDN w:val="0"/>
        <w:spacing w:line="480" w:lineRule="exact"/>
        <w:ind w:left="240" w:leftChars="100" w:firstLine="480" w:firstLineChars="200"/>
      </w:pPr>
      <w:bookmarkStart w:id="111" w:name="OLE_LINK62"/>
      <w:bookmarkStart w:id="112" w:name="OLE_LINK64"/>
      <w:bookmarkStart w:id="113" w:name="OLE_LINK42"/>
      <w:bookmarkStart w:id="114" w:name="OLE_LINK41"/>
      <w:r>
        <w:rPr>
          <w:rFonts w:hint="eastAsia"/>
        </w:rPr>
        <w:t>方法二：</w:t>
      </w:r>
      <w:bookmarkEnd w:id="111"/>
      <w:bookmarkEnd w:id="112"/>
      <w:r>
        <w:rPr>
          <w:rFonts w:hint="eastAsia"/>
        </w:rPr>
        <w:t>增量示值误差校准。</w:t>
      </w:r>
    </w:p>
    <w:p w14:paraId="1129092E">
      <w:pPr>
        <w:widowControl w:val="0"/>
        <w:autoSpaceDE w:val="0"/>
        <w:autoSpaceDN w:val="0"/>
        <w:spacing w:line="480" w:lineRule="exact"/>
        <w:ind w:left="240" w:leftChars="100" w:firstLine="480" w:firstLineChars="200"/>
      </w:pPr>
      <w:r>
        <w:rPr>
          <w:rFonts w:hint="eastAsia"/>
        </w:rPr>
        <w:t>在进行增量示值误差校准时，标准载荷单元可按照客户需求选取任意质量值。</w:t>
      </w:r>
    </w:p>
    <w:p w14:paraId="6E51E4AD">
      <w:pPr>
        <w:widowControl w:val="0"/>
        <w:autoSpaceDE w:val="0"/>
        <w:autoSpaceDN w:val="0"/>
        <w:spacing w:line="480" w:lineRule="exact"/>
        <w:ind w:left="240" w:leftChars="100" w:firstLine="480" w:firstLineChars="200"/>
      </w:pPr>
      <w:r>
        <w:rPr>
          <w:rFonts w:hint="eastAsia"/>
        </w:rPr>
        <w:t>a）从零点开始施加标准载荷单元，校准该载荷下的误差，然后卸去标准载荷单元，返回零点；</w:t>
      </w:r>
    </w:p>
    <w:p w14:paraId="56BEBF2D">
      <w:pPr>
        <w:widowControl w:val="0"/>
        <w:autoSpaceDE w:val="0"/>
        <w:autoSpaceDN w:val="0"/>
        <w:spacing w:line="480" w:lineRule="exact"/>
        <w:ind w:left="240" w:leftChars="100" w:firstLine="480" w:firstLineChars="200"/>
      </w:pPr>
      <w:bookmarkStart w:id="115" w:name="OLE_LINK55"/>
      <w:bookmarkStart w:id="116" w:name="OLE_LINK54"/>
      <w:r>
        <w:rPr>
          <w:rFonts w:hint="eastAsia"/>
        </w:rPr>
        <w:t>b）</w:t>
      </w:r>
      <w:bookmarkStart w:id="117" w:name="OLE_LINK69"/>
      <w:r>
        <w:rPr>
          <w:rFonts w:hint="eastAsia"/>
        </w:rPr>
        <w:t>加载</w:t>
      </w:r>
      <w:bookmarkEnd w:id="117"/>
      <w:r>
        <w:rPr>
          <w:rFonts w:hint="eastAsia"/>
        </w:rPr>
        <w:t>物料，直至达到10%</w:t>
      </w:r>
      <w:bookmarkStart w:id="118" w:name="OLE_LINK46"/>
      <w:r>
        <w:rPr>
          <w:rFonts w:hint="eastAsia"/>
        </w:rPr>
        <w:t>最大秤量</w:t>
      </w:r>
      <w:bookmarkEnd w:id="118"/>
      <w:r>
        <w:rPr>
          <w:rFonts w:hint="eastAsia"/>
        </w:rPr>
        <w:t>；</w:t>
      </w:r>
      <w:bookmarkEnd w:id="115"/>
      <w:bookmarkEnd w:id="116"/>
    </w:p>
    <w:p w14:paraId="6EB904C6">
      <w:pPr>
        <w:widowControl w:val="0"/>
        <w:autoSpaceDE w:val="0"/>
        <w:autoSpaceDN w:val="0"/>
        <w:spacing w:line="480" w:lineRule="exact"/>
        <w:ind w:left="240" w:leftChars="100" w:firstLine="480" w:firstLineChars="200"/>
      </w:pPr>
      <w:bookmarkStart w:id="119" w:name="OLE_LINK51"/>
      <w:r>
        <w:rPr>
          <w:rFonts w:hint="eastAsia"/>
        </w:rPr>
        <w:t xml:space="preserve">c）再施加标准载荷单元，校准施加载荷下的误差，然后卸去标准载荷单元； </w:t>
      </w:r>
    </w:p>
    <w:bookmarkEnd w:id="119"/>
    <w:p w14:paraId="4AF9218E">
      <w:pPr>
        <w:widowControl w:val="0"/>
        <w:autoSpaceDE w:val="0"/>
        <w:autoSpaceDN w:val="0"/>
        <w:spacing w:line="480" w:lineRule="exact"/>
        <w:ind w:left="240" w:leftChars="100" w:firstLine="480" w:firstLineChars="200"/>
      </w:pPr>
      <w:r>
        <w:rPr>
          <w:rFonts w:hint="eastAsia"/>
        </w:rPr>
        <w:t>d）</w:t>
      </w:r>
      <w:bookmarkStart w:id="120" w:name="OLE_LINK68"/>
      <w:r>
        <w:rPr>
          <w:rFonts w:hint="eastAsia"/>
        </w:rPr>
        <w:t>加载物料，</w:t>
      </w:r>
      <w:bookmarkEnd w:id="120"/>
      <w:r>
        <w:rPr>
          <w:rFonts w:hint="eastAsia"/>
        </w:rPr>
        <w:t>直至达到20%最大秤量；</w:t>
      </w:r>
    </w:p>
    <w:p w14:paraId="528927B7">
      <w:pPr>
        <w:widowControl w:val="0"/>
        <w:autoSpaceDE w:val="0"/>
        <w:autoSpaceDN w:val="0"/>
        <w:spacing w:line="480" w:lineRule="exact"/>
        <w:ind w:left="240" w:leftChars="100" w:firstLine="480" w:firstLineChars="200"/>
      </w:pPr>
      <w:r>
        <w:rPr>
          <w:rFonts w:hint="eastAsia"/>
        </w:rPr>
        <w:t>e）重复上述 c）、d）操作，</w:t>
      </w:r>
      <w:bookmarkStart w:id="121" w:name="OLE_LINK118"/>
      <w:r>
        <w:rPr>
          <w:rFonts w:hint="eastAsia"/>
        </w:rPr>
        <w:t>以10%递进加载到最大秤量</w:t>
      </w:r>
      <w:bookmarkEnd w:id="121"/>
      <w:r>
        <w:rPr>
          <w:rFonts w:hint="eastAsia"/>
        </w:rPr>
        <w:t>；</w:t>
      </w:r>
    </w:p>
    <w:p w14:paraId="72C57D3B">
      <w:pPr>
        <w:widowControl w:val="0"/>
        <w:autoSpaceDE w:val="0"/>
        <w:autoSpaceDN w:val="0"/>
        <w:spacing w:line="480" w:lineRule="exact"/>
        <w:ind w:left="240" w:leftChars="100" w:firstLine="480" w:firstLineChars="200"/>
      </w:pPr>
      <w:r>
        <w:rPr>
          <w:rFonts w:hint="eastAsia"/>
        </w:rPr>
        <w:t>f）记录每次读数。</w:t>
      </w:r>
    </w:p>
    <w:bookmarkEnd w:id="113"/>
    <w:bookmarkEnd w:id="114"/>
    <w:p w14:paraId="1D6233E7">
      <w:pPr>
        <w:widowControl w:val="0"/>
        <w:autoSpaceDE w:val="0"/>
        <w:autoSpaceDN w:val="0"/>
        <w:spacing w:line="480" w:lineRule="exact"/>
        <w:ind w:left="240" w:leftChars="100" w:firstLine="480" w:firstLineChars="200"/>
      </w:pPr>
      <w:r>
        <w:rPr>
          <w:rFonts w:hint="eastAsia"/>
        </w:rPr>
        <w:t>方法三：增量示值误差校准，可按照用户的要求选取校准载荷点，按照方法二进行校准。</w:t>
      </w:r>
    </w:p>
    <w:p w14:paraId="5B6DD4F2">
      <w:pPr>
        <w:widowControl w:val="0"/>
        <w:autoSpaceDE w:val="0"/>
        <w:autoSpaceDN w:val="0"/>
        <w:spacing w:line="480" w:lineRule="exact"/>
        <w:ind w:left="240" w:leftChars="100" w:firstLine="480" w:firstLineChars="200"/>
      </w:pPr>
      <w:r>
        <w:rPr>
          <w:rFonts w:hint="eastAsia"/>
        </w:rPr>
        <w:t>方法四：</w:t>
      </w:r>
      <w:bookmarkStart w:id="122" w:name="OLE_LINK72"/>
      <w:bookmarkStart w:id="123" w:name="OLE_LINK71"/>
      <w:r>
        <w:rPr>
          <w:rFonts w:hint="eastAsia"/>
        </w:rPr>
        <w:t>反向顺序卸至零点</w:t>
      </w:r>
      <w:bookmarkEnd w:id="122"/>
      <w:bookmarkEnd w:id="123"/>
      <w:r>
        <w:rPr>
          <w:rFonts w:hint="eastAsia"/>
        </w:rPr>
        <w:t>的全量程示值误差校准。</w:t>
      </w:r>
    </w:p>
    <w:p w14:paraId="1F8F3251">
      <w:pPr>
        <w:widowControl w:val="0"/>
        <w:autoSpaceDE w:val="0"/>
        <w:autoSpaceDN w:val="0"/>
        <w:spacing w:line="480" w:lineRule="exact"/>
        <w:ind w:left="240" w:leftChars="100" w:firstLine="480" w:firstLineChars="200"/>
      </w:pPr>
      <w:r>
        <w:rPr>
          <w:rFonts w:hint="eastAsia"/>
        </w:rPr>
        <w:t>a）施加标准载荷单元，加载物料到最大秤量或接近最大秤量；</w:t>
      </w:r>
    </w:p>
    <w:p w14:paraId="5389FE34">
      <w:pPr>
        <w:widowControl w:val="0"/>
        <w:autoSpaceDE w:val="0"/>
        <w:autoSpaceDN w:val="0"/>
        <w:spacing w:line="480" w:lineRule="exact"/>
        <w:ind w:left="240" w:leftChars="100" w:firstLine="480" w:firstLineChars="200"/>
      </w:pPr>
      <w:r>
        <w:rPr>
          <w:rFonts w:hint="eastAsia"/>
        </w:rPr>
        <w:t>b）卸去标准载荷单元，校准误差；</w:t>
      </w:r>
    </w:p>
    <w:p w14:paraId="6FE9F43E">
      <w:pPr>
        <w:widowControl w:val="0"/>
        <w:autoSpaceDE w:val="0"/>
        <w:autoSpaceDN w:val="0"/>
        <w:spacing w:line="480" w:lineRule="exact"/>
        <w:ind w:left="240" w:leftChars="100" w:firstLine="480" w:firstLineChars="200"/>
      </w:pPr>
      <w:r>
        <w:rPr>
          <w:rFonts w:hint="eastAsia"/>
        </w:rPr>
        <w:t>c）再施加标准载荷单元，卸载物料至示值与步骤b）大致相同；</w:t>
      </w:r>
    </w:p>
    <w:p w14:paraId="7D4BE92D">
      <w:pPr>
        <w:widowControl w:val="0"/>
        <w:autoSpaceDE w:val="0"/>
        <w:autoSpaceDN w:val="0"/>
        <w:spacing w:line="480" w:lineRule="exact"/>
        <w:ind w:left="240" w:leftChars="100" w:firstLine="480" w:firstLineChars="200"/>
      </w:pPr>
      <w:r>
        <w:rPr>
          <w:rFonts w:hint="eastAsia"/>
        </w:rPr>
        <w:t>d）卸去标准载荷单元，校准误差；</w:t>
      </w:r>
    </w:p>
    <w:p w14:paraId="643D70E3">
      <w:pPr>
        <w:widowControl w:val="0"/>
        <w:autoSpaceDE w:val="0"/>
        <w:autoSpaceDN w:val="0"/>
        <w:spacing w:line="480" w:lineRule="exact"/>
        <w:ind w:left="240" w:leftChars="100" w:firstLine="480" w:firstLineChars="200"/>
      </w:pPr>
      <w:r>
        <w:rPr>
          <w:rFonts w:hint="eastAsia"/>
        </w:rPr>
        <w:t>e）重复上述 c）、d）操作，直至卸载物料到零点或零点附近；</w:t>
      </w:r>
    </w:p>
    <w:p w14:paraId="242092F4">
      <w:pPr>
        <w:widowControl w:val="0"/>
        <w:autoSpaceDE w:val="0"/>
        <w:autoSpaceDN w:val="0"/>
        <w:spacing w:line="480" w:lineRule="exact"/>
        <w:ind w:left="240" w:leftChars="100" w:firstLine="480" w:firstLineChars="200"/>
      </w:pPr>
      <w:r>
        <w:rPr>
          <w:rFonts w:hint="eastAsia"/>
        </w:rPr>
        <w:t>f）记录每次读数。</w:t>
      </w:r>
    </w:p>
    <w:p w14:paraId="10B24FFE">
      <w:pPr>
        <w:widowControl w:val="0"/>
        <w:autoSpaceDE w:val="0"/>
        <w:autoSpaceDN w:val="0"/>
        <w:spacing w:line="480" w:lineRule="exact"/>
        <w:ind w:left="240" w:leftChars="100" w:firstLine="480" w:firstLineChars="200"/>
      </w:pPr>
      <w:bookmarkStart w:id="124" w:name="OLE_LINK129"/>
      <w:r>
        <w:rPr>
          <w:rFonts w:hint="eastAsia"/>
        </w:rPr>
        <w:t>如被校称重系统具备扩展指示装置各称量点的示值误差E按照公式（1）进行计算，不具备扩展指示装置称重系统各称量点的示值误差</w:t>
      </w:r>
      <w:r>
        <w:rPr>
          <w:rFonts w:hint="eastAsia"/>
          <w:i/>
          <w:iCs/>
        </w:rPr>
        <w:t>E</w:t>
      </w:r>
      <w:r>
        <w:rPr>
          <w:rFonts w:hint="eastAsia"/>
        </w:rPr>
        <w:t>按照公式（3）进行计算。</w:t>
      </w:r>
      <w:bookmarkEnd w:id="91"/>
      <w:bookmarkEnd w:id="92"/>
      <w:bookmarkEnd w:id="124"/>
    </w:p>
    <w:p w14:paraId="23B38357">
      <w:pPr>
        <w:spacing w:line="400" w:lineRule="exact"/>
      </w:pPr>
      <w:r>
        <w:rPr>
          <w:rFonts w:hint="eastAsia"/>
        </w:rPr>
        <w:t xml:space="preserve">7.2.4 </w:t>
      </w:r>
      <w:bookmarkStart w:id="125" w:name="OLE_LINK127"/>
      <w:r>
        <w:rPr>
          <w:rFonts w:hint="eastAsia"/>
        </w:rPr>
        <w:t>重复性</w:t>
      </w:r>
    </w:p>
    <w:p w14:paraId="38C25FB2">
      <w:pPr>
        <w:autoSpaceDE w:val="0"/>
        <w:autoSpaceDN w:val="0"/>
        <w:spacing w:line="440" w:lineRule="exact"/>
        <w:ind w:firstLine="480" w:firstLineChars="200"/>
        <w:rPr>
          <w:bCs/>
        </w:rPr>
      </w:pPr>
      <w:bookmarkStart w:id="126" w:name="OLE_LINK52"/>
      <w:r>
        <w:rPr>
          <w:rFonts w:hint="eastAsia"/>
          <w:bCs/>
        </w:rPr>
        <w:t>将物料罐加载物料到不低于50%</w:t>
      </w:r>
      <w:r>
        <w:rPr>
          <w:bCs/>
        </w:rPr>
        <w:t>最大</w:t>
      </w:r>
      <w:r>
        <w:rPr>
          <w:rFonts w:hint="eastAsia"/>
          <w:bCs/>
        </w:rPr>
        <w:t>秤量后，</w:t>
      </w:r>
      <w:bookmarkEnd w:id="126"/>
      <w:r>
        <w:rPr>
          <w:rFonts w:hint="eastAsia"/>
        </w:rPr>
        <w:t>加载一组标准载荷单元，为</w:t>
      </w:r>
      <w:r>
        <w:rPr>
          <w:rFonts w:hint="eastAsia"/>
          <w:bCs/>
        </w:rPr>
        <w:t>一组测试。反复加载</w:t>
      </w:r>
      <w:r>
        <w:rPr>
          <w:rFonts w:hint="eastAsia"/>
        </w:rPr>
        <w:t>一组标准载荷单元</w:t>
      </w:r>
      <w:r>
        <w:rPr>
          <w:rFonts w:hint="eastAsia"/>
          <w:bCs/>
        </w:rPr>
        <w:t>不小于3次，稳定时读取示值。</w:t>
      </w:r>
    </w:p>
    <w:p w14:paraId="13DE0742">
      <w:pPr>
        <w:autoSpaceDE w:val="0"/>
        <w:autoSpaceDN w:val="0"/>
        <w:spacing w:line="440" w:lineRule="exact"/>
        <w:ind w:firstLine="480" w:firstLineChars="200"/>
        <w:rPr>
          <w:bCs/>
        </w:rPr>
      </w:pPr>
      <w:r>
        <w:rPr>
          <w:rFonts w:hint="eastAsia"/>
          <w:bCs/>
        </w:rPr>
        <w:t>每次称量时，零点应重新置零。每次加</w:t>
      </w:r>
      <w:r>
        <w:rPr>
          <w:rFonts w:hint="eastAsia"/>
        </w:rPr>
        <w:t>卸载标准载荷单元前后</w:t>
      </w:r>
      <w:r>
        <w:rPr>
          <w:rFonts w:hint="eastAsia"/>
          <w:bCs/>
        </w:rPr>
        <w:t>的读数差值若超过0.5</w:t>
      </w:r>
      <w:r>
        <w:rPr>
          <w:rFonts w:hint="eastAsia"/>
          <w:bCs/>
          <w:i/>
          <w:iCs/>
        </w:rPr>
        <w:t>e</w:t>
      </w:r>
      <w:r>
        <w:rPr>
          <w:rFonts w:hint="eastAsia"/>
          <w:bCs/>
        </w:rPr>
        <w:t>，应仔细排查</w:t>
      </w:r>
      <w:r>
        <w:t>罐体</w:t>
      </w:r>
      <w:r>
        <w:rPr>
          <w:rFonts w:hint="eastAsia"/>
          <w:bCs/>
        </w:rPr>
        <w:t>是否有泄漏等异常情况。</w:t>
      </w:r>
    </w:p>
    <w:bookmarkEnd w:id="125"/>
    <w:p w14:paraId="47C92F6A">
      <w:pPr>
        <w:autoSpaceDE w:val="0"/>
        <w:autoSpaceDN w:val="0"/>
        <w:spacing w:line="440" w:lineRule="exact"/>
        <w:ind w:firstLine="480" w:firstLineChars="200"/>
        <w:rPr>
          <w:bCs/>
        </w:rPr>
      </w:pPr>
      <w:bookmarkStart w:id="127" w:name="OLE_LINK128"/>
      <w:r>
        <w:rPr>
          <w:bCs/>
        </w:rPr>
        <w:t>重复性</w:t>
      </w:r>
      <w:r>
        <w:rPr>
          <w:bCs/>
          <w:i/>
        </w:rPr>
        <w:t>E</w:t>
      </w:r>
      <w:r>
        <w:rPr>
          <w:bCs/>
          <w:vertAlign w:val="subscript"/>
        </w:rPr>
        <w:t>R</w:t>
      </w:r>
      <w:r>
        <w:rPr>
          <w:bCs/>
        </w:rPr>
        <w:t>用公式（</w:t>
      </w:r>
      <w:r>
        <w:rPr>
          <w:rFonts w:hint="eastAsia"/>
          <w:bCs/>
        </w:rPr>
        <w:t>4</w:t>
      </w:r>
      <w:r>
        <w:rPr>
          <w:bCs/>
        </w:rPr>
        <w:t>）计算：</w:t>
      </w:r>
    </w:p>
    <w:p w14:paraId="0C2CD771">
      <w:pPr>
        <w:autoSpaceDE w:val="0"/>
        <w:autoSpaceDN w:val="0"/>
        <w:spacing w:line="440" w:lineRule="exact"/>
        <w:ind w:right="480"/>
        <w:jc w:val="right"/>
        <w:rPr>
          <w:bCs/>
        </w:rPr>
      </w:pPr>
      <w:r>
        <w:rPr>
          <w:rFonts w:hint="eastAsia"/>
          <w:bCs/>
          <w:i/>
        </w:rPr>
        <w:t xml:space="preserve">   </w:t>
      </w:r>
      <w:r>
        <w:rPr>
          <w:bCs/>
          <w:i/>
        </w:rPr>
        <w:t>E</w:t>
      </w:r>
      <w:r>
        <w:rPr>
          <w:bCs/>
          <w:vertAlign w:val="subscript"/>
        </w:rPr>
        <w:t>R</w:t>
      </w:r>
      <w:r>
        <w:rPr>
          <w:bCs/>
        </w:rPr>
        <w:t xml:space="preserve"> =</w:t>
      </w:r>
      <w:r>
        <w:rPr>
          <w:bCs/>
          <w:i/>
        </w:rPr>
        <w:t>E</w:t>
      </w:r>
      <w:r>
        <w:rPr>
          <w:bCs/>
          <w:vertAlign w:val="subscript"/>
        </w:rPr>
        <w:t>max</w:t>
      </w:r>
      <w:r>
        <w:rPr>
          <w:bCs/>
        </w:rPr>
        <w:t>-</w:t>
      </w:r>
      <w:r>
        <w:rPr>
          <w:bCs/>
          <w:i/>
        </w:rPr>
        <w:t>E</w:t>
      </w:r>
      <w:r>
        <w:rPr>
          <w:bCs/>
          <w:vertAlign w:val="subscript"/>
        </w:rPr>
        <w:t>min</w:t>
      </w:r>
      <w:r>
        <w:rPr>
          <w:rFonts w:hint="eastAsia"/>
          <w:bCs/>
        </w:rPr>
        <w:t xml:space="preserve">                        </w:t>
      </w:r>
      <w:r>
        <w:rPr>
          <w:bCs/>
        </w:rPr>
        <w:t>（</w:t>
      </w:r>
      <w:r>
        <w:rPr>
          <w:rFonts w:hint="eastAsia"/>
          <w:bCs/>
        </w:rPr>
        <w:t>4</w:t>
      </w:r>
      <w:r>
        <w:rPr>
          <w:bCs/>
        </w:rPr>
        <w:t>）</w:t>
      </w:r>
    </w:p>
    <w:p w14:paraId="2F51CD0A">
      <w:pPr>
        <w:autoSpaceDE w:val="0"/>
        <w:autoSpaceDN w:val="0"/>
        <w:spacing w:line="440" w:lineRule="exact"/>
        <w:ind w:right="480" w:firstLine="480" w:firstLineChars="200"/>
        <w:rPr>
          <w:bCs/>
        </w:rPr>
      </w:pPr>
      <w:r>
        <w:rPr>
          <w:bCs/>
        </w:rPr>
        <w:t>式中：</w:t>
      </w:r>
    </w:p>
    <w:p w14:paraId="7033BAF1">
      <w:pPr>
        <w:autoSpaceDE w:val="0"/>
        <w:autoSpaceDN w:val="0"/>
        <w:spacing w:line="440" w:lineRule="exact"/>
        <w:ind w:firstLine="480" w:firstLineChars="200"/>
        <w:rPr>
          <w:bCs/>
        </w:rPr>
      </w:pPr>
      <w:r>
        <w:rPr>
          <w:bCs/>
          <w:i/>
        </w:rPr>
        <w:t>E</w:t>
      </w:r>
      <w:r>
        <w:rPr>
          <w:bCs/>
          <w:vertAlign w:val="subscript"/>
        </w:rPr>
        <w:t>R</w:t>
      </w:r>
      <w:r>
        <w:rPr>
          <w:i/>
          <w:color w:val="000000"/>
        </w:rPr>
        <w:t>—</w:t>
      </w:r>
      <w:r>
        <w:rPr>
          <w:iCs/>
          <w:color w:val="000000"/>
        </w:rPr>
        <w:t>—</w:t>
      </w:r>
      <w:r>
        <w:rPr>
          <w:bCs/>
        </w:rPr>
        <w:t>重复性，kg、g或t</w:t>
      </w:r>
      <w:r>
        <w:rPr>
          <w:rFonts w:hint="eastAsia"/>
          <w:bCs/>
        </w:rPr>
        <w:t>；</w:t>
      </w:r>
    </w:p>
    <w:p w14:paraId="0B97A63E">
      <w:pPr>
        <w:autoSpaceDE w:val="0"/>
        <w:autoSpaceDN w:val="0"/>
        <w:spacing w:line="440" w:lineRule="exact"/>
        <w:ind w:firstLine="480" w:firstLineChars="200"/>
        <w:rPr>
          <w:bCs/>
        </w:rPr>
      </w:pPr>
      <w:r>
        <w:rPr>
          <w:bCs/>
          <w:i/>
        </w:rPr>
        <w:t>E</w:t>
      </w:r>
      <w:r>
        <w:rPr>
          <w:bCs/>
          <w:vertAlign w:val="subscript"/>
        </w:rPr>
        <w:t>max</w:t>
      </w:r>
      <w:r>
        <w:rPr>
          <w:i/>
          <w:color w:val="000000"/>
        </w:rPr>
        <w:t>—</w:t>
      </w:r>
      <w:r>
        <w:rPr>
          <w:iCs/>
          <w:color w:val="000000"/>
        </w:rPr>
        <w:t>—</w:t>
      </w:r>
      <w:r>
        <w:rPr>
          <w:rFonts w:hint="eastAsia"/>
        </w:rPr>
        <w:t>多次加载中</w:t>
      </w:r>
      <w:r>
        <w:rPr>
          <w:bCs/>
        </w:rPr>
        <w:t>示值误差的最</w:t>
      </w:r>
      <w:r>
        <w:rPr>
          <w:rFonts w:hint="eastAsia"/>
          <w:bCs/>
        </w:rPr>
        <w:t>大</w:t>
      </w:r>
      <w:r>
        <w:rPr>
          <w:bCs/>
        </w:rPr>
        <w:t>值，kg、g或t</w:t>
      </w:r>
      <w:r>
        <w:rPr>
          <w:rFonts w:hint="eastAsia"/>
          <w:bCs/>
        </w:rPr>
        <w:t>；</w:t>
      </w:r>
    </w:p>
    <w:p w14:paraId="53D14135">
      <w:pPr>
        <w:autoSpaceDE w:val="0"/>
        <w:autoSpaceDN w:val="0"/>
        <w:spacing w:line="440" w:lineRule="exact"/>
        <w:ind w:firstLine="480" w:firstLineChars="200"/>
        <w:rPr>
          <w:bCs/>
        </w:rPr>
      </w:pPr>
      <w:r>
        <w:rPr>
          <w:bCs/>
          <w:i/>
        </w:rPr>
        <w:t>E</w:t>
      </w:r>
      <w:r>
        <w:rPr>
          <w:bCs/>
          <w:vertAlign w:val="subscript"/>
        </w:rPr>
        <w:t>min</w:t>
      </w:r>
      <w:r>
        <w:rPr>
          <w:i/>
          <w:color w:val="000000"/>
        </w:rPr>
        <w:t>—</w:t>
      </w:r>
      <w:r>
        <w:rPr>
          <w:iCs/>
          <w:color w:val="000000"/>
        </w:rPr>
        <w:t>—</w:t>
      </w:r>
      <w:r>
        <w:rPr>
          <w:rFonts w:hint="eastAsia"/>
        </w:rPr>
        <w:t>多次加载中</w:t>
      </w:r>
      <w:r>
        <w:rPr>
          <w:bCs/>
        </w:rPr>
        <w:t>示值误差的最小值，kg、g或t</w:t>
      </w:r>
      <w:r>
        <w:rPr>
          <w:rFonts w:hint="eastAsia"/>
          <w:bCs/>
        </w:rPr>
        <w:t>；</w:t>
      </w:r>
    </w:p>
    <w:bookmarkEnd w:id="127"/>
    <w:p w14:paraId="1DBF804C">
      <w:pPr>
        <w:spacing w:line="400" w:lineRule="exact"/>
      </w:pPr>
      <w:r>
        <w:rPr>
          <w:rFonts w:hint="eastAsia"/>
        </w:rPr>
        <w:t xml:space="preserve">7.2.5 </w:t>
      </w:r>
      <w:bookmarkStart w:id="128" w:name="OLE_LINK73"/>
      <w:bookmarkStart w:id="129" w:name="OLE_LINK131"/>
      <w:r>
        <w:rPr>
          <w:rFonts w:hint="eastAsia"/>
        </w:rPr>
        <w:t>同一载荷在不同位置的示值误差</w:t>
      </w:r>
      <w:bookmarkEnd w:id="128"/>
      <w:r>
        <w:rPr>
          <w:rFonts w:hint="eastAsia"/>
        </w:rPr>
        <w:t>（若适用）</w:t>
      </w:r>
    </w:p>
    <w:p w14:paraId="56A9A89E">
      <w:pPr>
        <w:spacing w:line="360" w:lineRule="auto"/>
        <w:rPr>
          <w:bCs/>
        </w:rPr>
      </w:pPr>
      <w:r>
        <w:rPr>
          <w:rFonts w:hint="eastAsia"/>
        </w:rPr>
        <w:t xml:space="preserve">7.2.5.1. </w:t>
      </w:r>
      <w:r>
        <w:rPr>
          <w:rFonts w:hint="eastAsia"/>
          <w:bCs/>
        </w:rPr>
        <w:t>偏载通用要求应符合JJG 539中7.5.11.1的要求。</w:t>
      </w:r>
    </w:p>
    <w:p w14:paraId="45B69A67">
      <w:pPr>
        <w:spacing w:line="360" w:lineRule="auto"/>
        <w:rPr>
          <w:bCs/>
        </w:rPr>
      </w:pPr>
      <w:r>
        <w:rPr>
          <w:rFonts w:hint="eastAsia"/>
          <w:bCs/>
        </w:rPr>
        <w:t>7.2.5.2</w:t>
      </w:r>
      <w:r>
        <w:t xml:space="preserve"> </w:t>
      </w:r>
      <w:r>
        <w:rPr>
          <w:rFonts w:hint="eastAsia"/>
        </w:rPr>
        <w:t>将物料罐加载物料到不低于30%</w:t>
      </w:r>
      <w:r>
        <w:t>最大</w:t>
      </w:r>
      <w:r>
        <w:rPr>
          <w:rFonts w:hint="eastAsia"/>
        </w:rPr>
        <w:t>秤量后，先将标准载荷单元分散均匀放置，</w:t>
      </w:r>
      <w:r>
        <w:rPr>
          <w:rFonts w:hint="eastAsia"/>
          <w:bCs/>
        </w:rPr>
        <w:t>用闪变法确定加载位置示值的误差。</w:t>
      </w:r>
    </w:p>
    <w:p w14:paraId="094E3591">
      <w:pPr>
        <w:spacing w:line="360" w:lineRule="auto"/>
        <w:rPr>
          <w:bCs/>
        </w:rPr>
      </w:pPr>
      <w:r>
        <w:rPr>
          <w:rFonts w:hint="eastAsia"/>
          <w:bCs/>
        </w:rPr>
        <w:t>7.2.5.3 再将</w:t>
      </w:r>
      <w:bookmarkStart w:id="130" w:name="OLE_LINK23"/>
      <w:r>
        <w:rPr>
          <w:rFonts w:hint="eastAsia"/>
          <w:bCs/>
        </w:rPr>
        <w:t>标准载荷单元</w:t>
      </w:r>
      <w:bookmarkEnd w:id="130"/>
      <w:r>
        <w:rPr>
          <w:rFonts w:hint="eastAsia"/>
          <w:bCs/>
        </w:rPr>
        <w:t>依次</w:t>
      </w:r>
      <w:r>
        <w:rPr>
          <w:rFonts w:hint="eastAsia"/>
        </w:rPr>
        <w:t>加载在称重系统</w:t>
      </w:r>
      <w:r>
        <w:t>的不同位置。</w:t>
      </w:r>
      <w:r>
        <w:rPr>
          <w:rFonts w:hint="eastAsia"/>
        </w:rPr>
        <w:t>通常加载在料罐下方，距离中心点1/2处。</w:t>
      </w:r>
      <w:r>
        <w:t>如图</w:t>
      </w:r>
      <w:r>
        <w:rPr>
          <w:rFonts w:hint="eastAsia"/>
        </w:rPr>
        <w:t>1</w:t>
      </w:r>
      <w:r>
        <w:t>标注所示</w:t>
      </w:r>
      <w:r>
        <w:rPr>
          <w:rFonts w:hint="eastAsia"/>
          <w:bCs/>
        </w:rPr>
        <w:t>。</w:t>
      </w:r>
    </w:p>
    <w:bookmarkEnd w:id="129"/>
    <w:p w14:paraId="1869AE7B">
      <w:pPr>
        <w:spacing w:line="360" w:lineRule="auto"/>
        <w:ind w:firstLine="480" w:firstLineChars="200"/>
        <w:jc w:val="center"/>
        <w:rPr>
          <w:bCs/>
        </w:rPr>
      </w:pPr>
      <w:bookmarkStart w:id="131" w:name="_Toc30904"/>
      <w:bookmarkStart w:id="132" w:name="OLE_LINK132"/>
      <w:r>
        <w:rPr>
          <w:rFonts w:hint="eastAsia"/>
          <w:bCs/>
        </w:rPr>
        <w:drawing>
          <wp:inline distT="0" distB="0" distL="114300" distR="114300">
            <wp:extent cx="2624455" cy="901065"/>
            <wp:effectExtent l="0" t="0" r="4445" b="13335"/>
            <wp:docPr id="40" name="图片 40" descr="7c221535-4331-4f39-8996-bd7799bf63e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40" descr="7c221535-4331-4f39-8996-bd7799bf63ec"/>
                    <pic:cNvPicPr>
                      <a:picLocks noChangeAspect="1"/>
                    </pic:cNvPicPr>
                  </pic:nvPicPr>
                  <pic:blipFill>
                    <a:blip r:embed="rId23"/>
                    <a:stretch>
                      <a:fillRect/>
                    </a:stretch>
                  </pic:blipFill>
                  <pic:spPr>
                    <a:xfrm>
                      <a:off x="0" y="0"/>
                      <a:ext cx="2624455" cy="901065"/>
                    </a:xfrm>
                    <a:prstGeom prst="rect">
                      <a:avLst/>
                    </a:prstGeom>
                  </pic:spPr>
                </pic:pic>
              </a:graphicData>
            </a:graphic>
          </wp:inline>
        </w:drawing>
      </w:r>
      <w:bookmarkEnd w:id="131"/>
    </w:p>
    <w:p w14:paraId="29575E01">
      <w:pPr>
        <w:spacing w:line="360" w:lineRule="auto"/>
        <w:ind w:firstLine="420" w:firstLineChars="200"/>
        <w:jc w:val="center"/>
        <w:rPr>
          <w:bCs/>
        </w:rPr>
      </w:pPr>
      <w:bookmarkStart w:id="133" w:name="_Toc175226589"/>
      <w:bookmarkStart w:id="134" w:name="_Toc175235413"/>
      <w:bookmarkStart w:id="135" w:name="_Toc175226750"/>
      <w:r>
        <w:rPr>
          <w:rFonts w:hint="eastAsia"/>
          <w:sz w:val="21"/>
          <w:szCs w:val="21"/>
        </w:rPr>
        <w:t>图1 位置示意图</w:t>
      </w:r>
      <w:bookmarkEnd w:id="133"/>
      <w:bookmarkEnd w:id="134"/>
      <w:bookmarkEnd w:id="135"/>
    </w:p>
    <w:bookmarkEnd w:id="132"/>
    <w:p w14:paraId="17BE247B">
      <w:pPr>
        <w:spacing w:line="360" w:lineRule="auto"/>
        <w:rPr>
          <w:bCs/>
        </w:rPr>
      </w:pPr>
      <w:r>
        <w:rPr>
          <w:rFonts w:hint="eastAsia"/>
          <w:bCs/>
        </w:rPr>
        <w:t>7.2.5.4 载荷在不同位置测量结果</w:t>
      </w:r>
    </w:p>
    <w:p w14:paraId="748A4D89">
      <w:pPr>
        <w:ind w:left="199" w:leftChars="83" w:firstLine="480" w:firstLineChars="200"/>
      </w:pPr>
      <w:r>
        <w:rPr>
          <w:rFonts w:hint="eastAsia"/>
        </w:rPr>
        <w:t>根据不同载荷位置中获得的示值来计算载荷在不用位置的误差Δ</w:t>
      </w:r>
      <w:r>
        <w:rPr>
          <w:rFonts w:hint="eastAsia"/>
          <w:i/>
          <w:iCs/>
        </w:rPr>
        <w:t>I</w:t>
      </w:r>
      <w:r>
        <w:rPr>
          <w:rFonts w:hint="eastAsia"/>
          <w:vertAlign w:val="subscript"/>
        </w:rPr>
        <w:t>ecci</w:t>
      </w:r>
      <w:r>
        <w:rPr>
          <w:rFonts w:hint="eastAsia"/>
        </w:rPr>
        <w:t>。</w:t>
      </w:r>
    </w:p>
    <w:p w14:paraId="78CD6C37">
      <w:pPr>
        <w:autoSpaceDE w:val="0"/>
        <w:autoSpaceDN w:val="0"/>
        <w:spacing w:line="440" w:lineRule="exact"/>
        <w:ind w:right="480"/>
        <w:jc w:val="right"/>
        <w:rPr>
          <w:bCs/>
        </w:rPr>
      </w:pPr>
      <m:oMath>
        <m:r>
          <m:rPr/>
          <w:rPr>
            <w:rFonts w:hint="eastAsia"/>
          </w:rPr>
          <m:t>Δ</m:t>
        </m:r>
        <m:sSub>
          <m:sSubPr>
            <m:ctrlPr>
              <w:rPr>
                <w:rFonts w:hint="eastAsia" w:ascii="Cambria Math" w:hAnsi="Cambria Math"/>
                <w:bCs/>
                <w:i/>
              </w:rPr>
            </m:ctrlPr>
          </m:sSubPr>
          <m:e>
            <m:r>
              <m:rPr/>
              <w:rPr>
                <w:rFonts w:hint="eastAsia"/>
              </w:rPr>
              <m:t>I</m:t>
            </m:r>
            <m:ctrlPr>
              <w:rPr>
                <w:rFonts w:hint="eastAsia" w:ascii="Cambria Math" w:hAnsi="Cambria Math"/>
                <w:bCs/>
                <w:i/>
              </w:rPr>
            </m:ctrlPr>
          </m:e>
          <m:sub>
            <m:r>
              <m:rPr/>
              <w:rPr>
                <w:rFonts w:hint="eastAsia"/>
              </w:rPr>
              <m:t>ecci</m:t>
            </m:r>
            <m:ctrlPr>
              <w:rPr>
                <w:rFonts w:hint="eastAsia" w:ascii="Cambria Math" w:hAnsi="Cambria Math"/>
                <w:bCs/>
                <w:i/>
              </w:rPr>
            </m:ctrlPr>
          </m:sub>
        </m:sSub>
        <m:r>
          <m:rPr/>
          <m:t>=</m:t>
        </m:r>
        <m:sSub>
          <m:sSubPr>
            <m:ctrlPr>
              <w:rPr>
                <w:rFonts w:ascii="Cambria Math" w:hAnsi="Cambria Math"/>
                <w:bCs/>
                <w:i/>
              </w:rPr>
            </m:ctrlPr>
          </m:sSubPr>
          <m:e>
            <m:r>
              <m:rPr/>
              <m:t>I</m:t>
            </m:r>
            <m:ctrlPr>
              <w:rPr>
                <w:rFonts w:ascii="Cambria Math" w:hAnsi="Cambria Math"/>
                <w:bCs/>
                <w:i/>
              </w:rPr>
            </m:ctrlPr>
          </m:e>
          <m:sub>
            <m:r>
              <m:rPr/>
              <m:t>L</m:t>
            </m:r>
            <m:r>
              <m:rPr/>
              <w:rPr>
                <w:rFonts w:hint="eastAsia"/>
              </w:rPr>
              <m:t>i</m:t>
            </m:r>
            <m:ctrlPr>
              <w:rPr>
                <w:rFonts w:ascii="Cambria Math" w:hAnsi="Cambria Math"/>
                <w:bCs/>
                <w:i/>
              </w:rPr>
            </m:ctrlPr>
          </m:sub>
        </m:sSub>
        <m:r>
          <m:rPr/>
          <m:t>−</m:t>
        </m:r>
        <m:sSub>
          <m:sSubPr>
            <m:ctrlPr>
              <w:rPr>
                <w:rFonts w:ascii="Cambria Math" w:hAnsi="Cambria Math"/>
                <w:bCs/>
                <w:i/>
              </w:rPr>
            </m:ctrlPr>
          </m:sSubPr>
          <m:e>
            <m:r>
              <m:rPr/>
              <m:t>I</m:t>
            </m:r>
            <m:ctrlPr>
              <w:rPr>
                <w:rFonts w:ascii="Cambria Math" w:hAnsi="Cambria Math"/>
                <w:bCs/>
                <w:i/>
              </w:rPr>
            </m:ctrlPr>
          </m:e>
          <m:sub>
            <m:r>
              <m:rPr/>
              <m:t>L1</m:t>
            </m:r>
            <m:ctrlPr>
              <w:rPr>
                <w:rFonts w:ascii="Cambria Math" w:hAnsi="Cambria Math"/>
                <w:bCs/>
                <w:i/>
              </w:rPr>
            </m:ctrlPr>
          </m:sub>
        </m:sSub>
      </m:oMath>
      <w:r>
        <w:rPr>
          <w:rFonts w:hint="eastAsia"/>
          <w:bCs/>
          <w:i/>
        </w:rPr>
        <w:t xml:space="preserve"> </w:t>
      </w:r>
      <w:r>
        <w:rPr>
          <w:rFonts w:hint="eastAsia"/>
          <w:bCs/>
        </w:rPr>
        <w:t xml:space="preserve">                   （5）</w:t>
      </w:r>
    </w:p>
    <w:p w14:paraId="7BBD6619">
      <w:pPr>
        <w:autoSpaceDE w:val="0"/>
        <w:autoSpaceDN w:val="0"/>
        <w:spacing w:line="440" w:lineRule="exact"/>
        <w:ind w:right="480" w:firstLine="480" w:firstLineChars="200"/>
        <w:jc w:val="both"/>
        <w:rPr>
          <w:bCs/>
        </w:rPr>
      </w:pPr>
      <w:r>
        <w:rPr>
          <w:rFonts w:hint="eastAsia"/>
          <w:bCs/>
        </w:rPr>
        <w:t>式中：</w:t>
      </w:r>
    </w:p>
    <w:p w14:paraId="2C02D17B">
      <w:pPr>
        <w:autoSpaceDE w:val="0"/>
        <w:autoSpaceDN w:val="0"/>
        <w:spacing w:line="440" w:lineRule="exact"/>
        <w:ind w:right="480" w:firstLine="480" w:firstLineChars="200"/>
        <w:jc w:val="both"/>
        <w:rPr>
          <w:rFonts w:cs="宋体"/>
          <w:iCs/>
          <w:color w:val="000000"/>
        </w:rPr>
      </w:pPr>
      <w:r>
        <w:rPr>
          <w:rFonts w:hint="eastAsia"/>
          <w:bCs/>
          <w:i/>
          <w:iCs/>
        </w:rPr>
        <w:t>I</w:t>
      </w:r>
      <w:r>
        <w:rPr>
          <w:rFonts w:hint="eastAsia"/>
          <w:bCs/>
          <w:i/>
          <w:iCs/>
          <w:vertAlign w:val="subscript"/>
        </w:rPr>
        <w:t>L</w:t>
      </w:r>
      <w:r>
        <w:rPr>
          <w:rFonts w:hint="eastAsia"/>
          <w:bCs/>
          <w:vertAlign w:val="subscript"/>
        </w:rPr>
        <w:t>i</w:t>
      </w:r>
      <w:r>
        <w:rPr>
          <w:i/>
          <w:color w:val="000000"/>
        </w:rPr>
        <w:t>—</w:t>
      </w:r>
      <w:r>
        <w:rPr>
          <w:iCs/>
          <w:color w:val="000000"/>
        </w:rPr>
        <w:t>—</w:t>
      </w:r>
      <w:r>
        <w:rPr>
          <w:rFonts w:hint="eastAsia"/>
          <w:iCs/>
          <w:color w:val="000000"/>
        </w:rPr>
        <w:t>第</w:t>
      </w:r>
      <w:r>
        <w:rPr>
          <w:iCs/>
          <w:color w:val="000000"/>
        </w:rPr>
        <w:t>i</w:t>
      </w:r>
      <w:r>
        <w:rPr>
          <w:rFonts w:hint="eastAsia"/>
          <w:iCs/>
          <w:color w:val="000000"/>
        </w:rPr>
        <w:t>个位置显示值（i=</w:t>
      </w:r>
      <w:r>
        <w:rPr>
          <w:rFonts w:hint="eastAsia" w:cs="宋体"/>
          <w:iCs/>
          <w:color w:val="000000"/>
        </w:rPr>
        <w:t>2，3，4，5</w:t>
      </w:r>
      <w:r>
        <w:rPr>
          <w:rFonts w:hint="eastAsia"/>
          <w:iCs/>
          <w:color w:val="000000"/>
        </w:rPr>
        <w:t>）</w:t>
      </w:r>
      <w:r>
        <w:rPr>
          <w:rFonts w:hint="eastAsia" w:cs="宋体"/>
          <w:iCs/>
          <w:color w:val="000000"/>
        </w:rPr>
        <w:t>；</w:t>
      </w:r>
    </w:p>
    <w:p w14:paraId="032B3407">
      <w:pPr>
        <w:autoSpaceDE w:val="0"/>
        <w:autoSpaceDN w:val="0"/>
        <w:spacing w:line="440" w:lineRule="exact"/>
        <w:ind w:right="480" w:firstLine="480" w:firstLineChars="200"/>
        <w:jc w:val="both"/>
        <w:rPr>
          <w:rFonts w:cs="宋体"/>
          <w:iCs/>
          <w:color w:val="000000"/>
        </w:rPr>
      </w:pPr>
      <w:r>
        <w:rPr>
          <w:rFonts w:hint="eastAsia"/>
          <w:bCs/>
          <w:i/>
          <w:iCs/>
        </w:rPr>
        <w:t>I</w:t>
      </w:r>
      <w:r>
        <w:rPr>
          <w:rFonts w:hint="eastAsia"/>
          <w:bCs/>
          <w:i/>
          <w:iCs/>
          <w:vertAlign w:val="subscript"/>
        </w:rPr>
        <w:t>L</w:t>
      </w:r>
      <w:r>
        <w:rPr>
          <w:rFonts w:hint="eastAsia"/>
          <w:bCs/>
          <w:vertAlign w:val="subscript"/>
        </w:rPr>
        <w:t>1</w:t>
      </w:r>
      <w:r>
        <w:rPr>
          <w:i/>
          <w:color w:val="000000"/>
        </w:rPr>
        <w:t>—</w:t>
      </w:r>
      <w:r>
        <w:rPr>
          <w:iCs/>
          <w:color w:val="000000"/>
        </w:rPr>
        <w:t>—</w:t>
      </w:r>
      <w:r>
        <w:rPr>
          <w:rFonts w:hint="eastAsia"/>
        </w:rPr>
        <w:t>分散均匀放置</w:t>
      </w:r>
      <w:r>
        <w:rPr>
          <w:rFonts w:hint="eastAsia"/>
          <w:iCs/>
          <w:color w:val="000000"/>
        </w:rPr>
        <w:t>位置示值。</w:t>
      </w:r>
    </w:p>
    <w:p w14:paraId="2B77A9F1">
      <w:pPr>
        <w:autoSpaceDE w:val="0"/>
        <w:autoSpaceDN w:val="0"/>
        <w:spacing w:line="440" w:lineRule="exact"/>
        <w:rPr>
          <w:bCs/>
        </w:rPr>
      </w:pPr>
      <w:r>
        <w:rPr>
          <w:rFonts w:hint="eastAsia"/>
        </w:rPr>
        <w:t>7.2.6 在进行示值误差、重复性、同一载荷在不同位置的示值误差的校准时，每次卸载标准</w:t>
      </w:r>
      <w:r>
        <w:rPr>
          <w:rFonts w:hint="eastAsia"/>
          <w:bCs/>
        </w:rPr>
        <w:t>载荷单元，都需记录一次读数，</w:t>
      </w:r>
      <w:r>
        <w:t>其目的在于发现物料罐是否存在阀门松动、漏液等异常现象</w:t>
      </w:r>
      <w:r>
        <w:rPr>
          <w:rFonts w:hint="eastAsia"/>
          <w:bCs/>
        </w:rPr>
        <w:t>，避免对称重系统的校准操作产生误导。</w:t>
      </w:r>
    </w:p>
    <w:p w14:paraId="28BF3B47">
      <w:pPr>
        <w:pStyle w:val="62"/>
        <w:rPr>
          <w:rFonts w:ascii="Times New Roman" w:eastAsia="宋体"/>
          <w:b/>
        </w:rPr>
      </w:pPr>
      <w:bookmarkStart w:id="136" w:name="_Toc14339"/>
      <w:r>
        <w:rPr>
          <w:rFonts w:hint="eastAsia" w:ascii="Times New Roman" w:eastAsia="宋体"/>
        </w:rPr>
        <w:t>8 校准结果</w:t>
      </w:r>
      <w:bookmarkEnd w:id="37"/>
      <w:bookmarkEnd w:id="136"/>
      <w:r>
        <w:rPr>
          <w:rFonts w:ascii="Times New Roman" w:eastAsia="宋体"/>
        </w:rPr>
        <w:tab/>
      </w:r>
    </w:p>
    <w:p w14:paraId="4B51CA2A">
      <w:pPr>
        <w:spacing w:line="400" w:lineRule="exact"/>
        <w:ind w:firstLine="480" w:firstLineChars="200"/>
      </w:pPr>
      <w:bookmarkStart w:id="137" w:name="_Toc350158483"/>
      <w:r>
        <w:rPr>
          <w:rFonts w:hint="eastAsia"/>
        </w:rPr>
        <w:t>校准后，出具校准证书，校准证书至少包括以下信息：</w:t>
      </w:r>
    </w:p>
    <w:p w14:paraId="1BC59004">
      <w:pPr>
        <w:spacing w:line="400" w:lineRule="exact"/>
        <w:ind w:left="240" w:firstLine="480" w:firstLineChars="200"/>
      </w:pPr>
      <w:r>
        <w:rPr>
          <w:rFonts w:hint="eastAsia"/>
        </w:rPr>
        <w:t>a）标题“校准证书” ；</w:t>
      </w:r>
    </w:p>
    <w:p w14:paraId="0532AC5E">
      <w:pPr>
        <w:spacing w:line="400" w:lineRule="exact"/>
        <w:ind w:left="240" w:firstLine="480" w:firstLineChars="200"/>
      </w:pPr>
      <w:r>
        <w:rPr>
          <w:rFonts w:hint="eastAsia"/>
        </w:rPr>
        <w:t>b）实验室名称和地址；</w:t>
      </w:r>
    </w:p>
    <w:p w14:paraId="040B4D7F">
      <w:pPr>
        <w:spacing w:line="400" w:lineRule="exact"/>
        <w:ind w:left="240" w:firstLine="480" w:firstLineChars="200"/>
      </w:pPr>
      <w:r>
        <w:rPr>
          <w:rFonts w:hint="eastAsia"/>
        </w:rPr>
        <w:t>c）进行校准的地点（如果与实验室的地址不同）；</w:t>
      </w:r>
    </w:p>
    <w:p w14:paraId="40A8AF38">
      <w:pPr>
        <w:spacing w:line="400" w:lineRule="exact"/>
        <w:ind w:left="240" w:firstLine="480" w:firstLineChars="200"/>
      </w:pPr>
      <w:r>
        <w:rPr>
          <w:rFonts w:hint="eastAsia"/>
        </w:rPr>
        <w:t>d）证书或报告的唯一性标识（如编号），每页及总页的标识；</w:t>
      </w:r>
    </w:p>
    <w:p w14:paraId="2256C605">
      <w:pPr>
        <w:spacing w:line="400" w:lineRule="exact"/>
        <w:ind w:left="240" w:firstLine="480" w:firstLineChars="200"/>
      </w:pPr>
      <w:r>
        <w:rPr>
          <w:rFonts w:hint="eastAsia"/>
        </w:rPr>
        <w:t>e）客户的名称和地址；</w:t>
      </w:r>
    </w:p>
    <w:p w14:paraId="75F77D03">
      <w:pPr>
        <w:spacing w:line="400" w:lineRule="exact"/>
        <w:ind w:left="240" w:firstLine="480" w:firstLineChars="200"/>
      </w:pPr>
      <w:r>
        <w:rPr>
          <w:rFonts w:hint="eastAsia"/>
        </w:rPr>
        <w:t>f）被校对象的描述和明确标识；</w:t>
      </w:r>
    </w:p>
    <w:p w14:paraId="3283DC12">
      <w:pPr>
        <w:spacing w:line="400" w:lineRule="exact"/>
        <w:ind w:left="240" w:firstLine="480" w:firstLineChars="200"/>
      </w:pPr>
      <w:r>
        <w:rPr>
          <w:rFonts w:hint="eastAsia"/>
        </w:rPr>
        <w:t>g）进行校准的日期，如果与校准结果的有效性和应用有关时，应说明被校对象的接收日期；</w:t>
      </w:r>
    </w:p>
    <w:p w14:paraId="079E5B4F">
      <w:pPr>
        <w:spacing w:line="400" w:lineRule="exact"/>
        <w:ind w:left="240" w:firstLine="480" w:firstLineChars="200"/>
      </w:pPr>
      <w:r>
        <w:rPr>
          <w:rFonts w:hint="eastAsia"/>
        </w:rPr>
        <w:t>h）校准所依据的技术规范的标识，包括名称及代号；</w:t>
      </w:r>
    </w:p>
    <w:p w14:paraId="6121A516">
      <w:pPr>
        <w:spacing w:line="400" w:lineRule="exact"/>
        <w:ind w:left="240" w:firstLine="480" w:firstLineChars="200"/>
      </w:pPr>
      <w:r>
        <w:rPr>
          <w:rFonts w:hint="eastAsia"/>
        </w:rPr>
        <w:t>i）本次校准所用测量标准的溯源性及有效性说明；</w:t>
      </w:r>
    </w:p>
    <w:p w14:paraId="62C73074">
      <w:pPr>
        <w:spacing w:line="400" w:lineRule="exact"/>
        <w:ind w:left="240" w:firstLine="480" w:firstLineChars="200"/>
      </w:pPr>
      <w:r>
        <w:rPr>
          <w:rFonts w:hint="eastAsia"/>
        </w:rPr>
        <w:t>j）校准环境的描述；</w:t>
      </w:r>
    </w:p>
    <w:p w14:paraId="0E9ACED3">
      <w:pPr>
        <w:spacing w:line="400" w:lineRule="exact"/>
        <w:ind w:left="240" w:firstLine="480" w:firstLineChars="200"/>
      </w:pPr>
      <w:r>
        <w:rPr>
          <w:rFonts w:hint="eastAsia"/>
        </w:rPr>
        <w:t>k）校准结果及测量不确定度的说明；</w:t>
      </w:r>
    </w:p>
    <w:p w14:paraId="63FD31B8">
      <w:pPr>
        <w:spacing w:line="400" w:lineRule="exact"/>
        <w:ind w:left="240" w:firstLine="480" w:firstLineChars="200"/>
      </w:pPr>
      <w:r>
        <w:rPr>
          <w:rFonts w:hint="eastAsia"/>
        </w:rPr>
        <w:t>l）对校准规范的偏离的说明；</w:t>
      </w:r>
    </w:p>
    <w:p w14:paraId="03693B1C">
      <w:pPr>
        <w:spacing w:line="400" w:lineRule="exact"/>
        <w:ind w:left="240" w:firstLine="480" w:firstLineChars="200"/>
      </w:pPr>
      <w:r>
        <w:rPr>
          <w:rFonts w:hint="eastAsia"/>
        </w:rPr>
        <w:t>m）校准证书或校准报告签发人的签名、职务或等效标识；</w:t>
      </w:r>
    </w:p>
    <w:p w14:paraId="770D5DC9">
      <w:pPr>
        <w:spacing w:line="400" w:lineRule="exact"/>
        <w:ind w:left="240" w:firstLine="480" w:firstLineChars="200"/>
      </w:pPr>
      <w:r>
        <w:rPr>
          <w:rFonts w:hint="eastAsia"/>
        </w:rPr>
        <w:t>n）校准结果仅对被校对象有效的声明；</w:t>
      </w:r>
    </w:p>
    <w:p w14:paraId="56D3E633">
      <w:pPr>
        <w:spacing w:line="400" w:lineRule="exact"/>
        <w:ind w:left="240" w:firstLine="480" w:firstLineChars="200"/>
      </w:pPr>
      <w:r>
        <w:rPr>
          <w:rFonts w:hint="eastAsia"/>
        </w:rPr>
        <w:t>o）未经实验室书面批准，不得部分复制证书的声明。</w:t>
      </w:r>
    </w:p>
    <w:p w14:paraId="1A3307E0">
      <w:pPr>
        <w:spacing w:line="400" w:lineRule="exact"/>
        <w:ind w:left="240" w:firstLine="480" w:firstLineChars="200"/>
      </w:pPr>
      <w:r>
        <w:rPr>
          <w:rFonts w:hint="eastAsia"/>
        </w:rPr>
        <w:t>推荐校准原始记录的内容格式及校准证书内页格式见附录C~F</w:t>
      </w:r>
    </w:p>
    <w:p w14:paraId="32C1CB95">
      <w:pPr>
        <w:pStyle w:val="62"/>
        <w:rPr>
          <w:rFonts w:ascii="Times New Roman" w:eastAsia="宋体"/>
          <w:b/>
        </w:rPr>
      </w:pPr>
      <w:bookmarkStart w:id="138" w:name="_Toc22968"/>
      <w:r>
        <w:rPr>
          <w:rFonts w:hint="eastAsia" w:ascii="Times New Roman" w:eastAsia="宋体"/>
        </w:rPr>
        <w:t>9 复校时间间隔</w:t>
      </w:r>
      <w:bookmarkEnd w:id="137"/>
      <w:bookmarkEnd w:id="138"/>
    </w:p>
    <w:p w14:paraId="4FABD73D">
      <w:pPr>
        <w:ind w:left="199" w:leftChars="83" w:firstLine="480" w:firstLineChars="200"/>
      </w:pPr>
      <w:r>
        <w:rPr>
          <w:rFonts w:hint="eastAsia"/>
        </w:rPr>
        <w:t>由于复校时间间隔的长短是由仪器的使用情况﹑使用者﹑仪器本身质量等诸因素所决定的，因此，送校单位可根据实际使用情况自主决定复校时间间隔。建议复校时间为1年。</w:t>
      </w:r>
    </w:p>
    <w:p w14:paraId="0E6D1D46">
      <w:pPr>
        <w:pStyle w:val="62"/>
      </w:pPr>
      <w:r>
        <w:rPr>
          <w:sz w:val="21"/>
          <w:szCs w:val="21"/>
        </w:rPr>
        <w:br w:type="page"/>
      </w:r>
      <w:bookmarkStart w:id="139" w:name="_Toc3835"/>
      <w:r>
        <w:rPr>
          <w:rFonts w:hint="eastAsia"/>
        </w:rPr>
        <w:t>附录A</w:t>
      </w:r>
      <w:bookmarkEnd w:id="139"/>
      <w:r>
        <w:rPr>
          <w:rFonts w:hint="eastAsia"/>
        </w:rPr>
        <w:t xml:space="preserve">      </w:t>
      </w:r>
    </w:p>
    <w:p w14:paraId="0B08BF4E">
      <w:pPr>
        <w:pStyle w:val="62"/>
        <w:jc w:val="center"/>
        <w:rPr>
          <w:rStyle w:val="38"/>
          <w:rFonts w:hAnsi="Times New Roman"/>
          <w:b w:val="0"/>
          <w:bCs/>
          <w:sz w:val="24"/>
        </w:rPr>
      </w:pPr>
      <w:bookmarkStart w:id="140" w:name="_Toc192"/>
      <w:r>
        <w:rPr>
          <w:rStyle w:val="38"/>
          <w:rFonts w:hint="eastAsia" w:hAnsi="Times New Roman"/>
          <w:b w:val="0"/>
          <w:bCs/>
          <w:sz w:val="24"/>
        </w:rPr>
        <w:t>称重物料罐的示值误差测量结果不确定度评定（示例方法一</w:t>
      </w:r>
      <w:r>
        <w:rPr>
          <w:rStyle w:val="38"/>
          <w:rFonts w:hint="eastAsia"/>
          <w:b w:val="0"/>
          <w:bCs/>
          <w:sz w:val="24"/>
        </w:rPr>
        <w:t xml:space="preserve"> </w:t>
      </w:r>
      <w:r>
        <w:rPr>
          <w:rFonts w:hint="eastAsia"/>
        </w:rPr>
        <w:t>全量程</w:t>
      </w:r>
      <w:r>
        <w:rPr>
          <w:rStyle w:val="38"/>
          <w:rFonts w:hint="eastAsia" w:hAnsi="Times New Roman"/>
          <w:b w:val="0"/>
          <w:bCs/>
          <w:sz w:val="24"/>
        </w:rPr>
        <w:t>）</w:t>
      </w:r>
      <w:bookmarkEnd w:id="140"/>
    </w:p>
    <w:p w14:paraId="699FC1A4">
      <w:pPr>
        <w:adjustRightInd w:val="0"/>
        <w:snapToGrid w:val="0"/>
        <w:spacing w:line="360" w:lineRule="auto"/>
        <w:rPr>
          <w:spacing w:val="20"/>
        </w:rPr>
      </w:pPr>
      <w:r>
        <w:rPr>
          <w:spacing w:val="20"/>
        </w:rPr>
        <w:t>A.1</w:t>
      </w:r>
      <w:r>
        <w:rPr>
          <w:rFonts w:hint="eastAsia"/>
          <w:spacing w:val="20"/>
        </w:rPr>
        <w:t xml:space="preserve"> 概述</w:t>
      </w:r>
    </w:p>
    <w:p w14:paraId="30D49429">
      <w:pPr>
        <w:adjustRightInd w:val="0"/>
        <w:snapToGrid w:val="0"/>
        <w:spacing w:line="360" w:lineRule="auto"/>
        <w:rPr>
          <w:spacing w:val="20"/>
        </w:rPr>
      </w:pPr>
      <w:r>
        <w:rPr>
          <w:spacing w:val="20"/>
        </w:rPr>
        <w:t>A.1</w:t>
      </w:r>
      <w:r>
        <w:rPr>
          <w:rFonts w:hint="eastAsia"/>
          <w:spacing w:val="20"/>
        </w:rPr>
        <w:t>.1 测量标准</w:t>
      </w:r>
    </w:p>
    <w:p w14:paraId="6644ABBB">
      <w:pPr>
        <w:adjustRightInd w:val="0"/>
        <w:snapToGrid w:val="0"/>
        <w:spacing w:line="360" w:lineRule="auto"/>
        <w:ind w:firstLine="560" w:firstLineChars="200"/>
        <w:rPr>
          <w:spacing w:val="20"/>
        </w:rPr>
      </w:pPr>
      <w:r>
        <w:rPr>
          <w:rFonts w:hint="eastAsia"/>
          <w:spacing w:val="20"/>
        </w:rPr>
        <w:t>F</w:t>
      </w:r>
      <w:r>
        <w:rPr>
          <w:rFonts w:hint="eastAsia"/>
          <w:spacing w:val="20"/>
          <w:vertAlign w:val="subscript"/>
        </w:rPr>
        <w:t>2</w:t>
      </w:r>
      <w:r>
        <w:rPr>
          <w:rFonts w:hint="eastAsia"/>
          <w:spacing w:val="20"/>
        </w:rPr>
        <w:t>等级砝码（25kg*3=75 kg）。</w:t>
      </w:r>
    </w:p>
    <w:p w14:paraId="737CFFAB">
      <w:pPr>
        <w:adjustRightInd w:val="0"/>
        <w:snapToGrid w:val="0"/>
        <w:spacing w:line="360" w:lineRule="auto"/>
        <w:rPr>
          <w:spacing w:val="20"/>
        </w:rPr>
      </w:pPr>
      <w:r>
        <w:rPr>
          <w:spacing w:val="20"/>
        </w:rPr>
        <w:t>A.1</w:t>
      </w:r>
      <w:r>
        <w:rPr>
          <w:rFonts w:hint="eastAsia"/>
          <w:spacing w:val="20"/>
        </w:rPr>
        <w:t>.2 被测对象</w:t>
      </w:r>
    </w:p>
    <w:p w14:paraId="1D69420D">
      <w:pPr>
        <w:adjustRightInd w:val="0"/>
        <w:snapToGrid w:val="0"/>
        <w:spacing w:line="360" w:lineRule="auto"/>
        <w:ind w:firstLine="560" w:firstLineChars="200"/>
        <w:rPr>
          <w:spacing w:val="20"/>
        </w:rPr>
      </w:pPr>
      <w:r>
        <w:rPr>
          <w:rFonts w:hint="eastAsia"/>
          <w:spacing w:val="20"/>
        </w:rPr>
        <w:t>称重物料罐（Max=1000 kg，</w:t>
      </w:r>
      <w:r>
        <w:rPr>
          <w:rFonts w:hint="eastAsia"/>
          <w:i/>
          <w:iCs/>
          <w:spacing w:val="20"/>
        </w:rPr>
        <w:t>d</w:t>
      </w:r>
      <w:r>
        <w:rPr>
          <w:rFonts w:hint="eastAsia"/>
          <w:spacing w:val="20"/>
        </w:rPr>
        <w:t>=0.5 kg，</w:t>
      </w:r>
      <w:r>
        <w:rPr>
          <w:color w:val="000000"/>
        </w:rPr>
        <w:t>具备扩展指示装置</w:t>
      </w:r>
      <w:r>
        <w:rPr>
          <w:rFonts w:hint="eastAsia"/>
          <w:spacing w:val="20"/>
        </w:rPr>
        <w:t>）。</w:t>
      </w:r>
    </w:p>
    <w:p w14:paraId="6A17BB2C">
      <w:pPr>
        <w:adjustRightInd w:val="0"/>
        <w:snapToGrid w:val="0"/>
        <w:spacing w:line="360" w:lineRule="auto"/>
        <w:rPr>
          <w:spacing w:val="20"/>
        </w:rPr>
      </w:pPr>
      <w:r>
        <w:rPr>
          <w:spacing w:val="20"/>
        </w:rPr>
        <w:t>A.1</w:t>
      </w:r>
      <w:r>
        <w:rPr>
          <w:rFonts w:hint="eastAsia"/>
          <w:spacing w:val="20"/>
        </w:rPr>
        <w:t>.3 测量方法</w:t>
      </w:r>
    </w:p>
    <w:p w14:paraId="2B7467A5">
      <w:pPr>
        <w:adjustRightInd w:val="0"/>
        <w:snapToGrid w:val="0"/>
        <w:spacing w:line="360" w:lineRule="auto"/>
        <w:ind w:firstLine="560" w:firstLineChars="200"/>
        <w:rPr>
          <w:spacing w:val="20"/>
        </w:rPr>
      </w:pPr>
      <w:r>
        <w:rPr>
          <w:rFonts w:hint="eastAsia"/>
          <w:spacing w:val="20"/>
        </w:rPr>
        <w:t>按本规范7.2方法，对称重物料罐进行校准。</w:t>
      </w:r>
    </w:p>
    <w:p w14:paraId="2BB8E48F">
      <w:pPr>
        <w:adjustRightInd w:val="0"/>
        <w:snapToGrid w:val="0"/>
        <w:spacing w:line="360" w:lineRule="auto"/>
        <w:rPr>
          <w:spacing w:val="20"/>
        </w:rPr>
      </w:pPr>
      <w:r>
        <w:rPr>
          <w:spacing w:val="20"/>
        </w:rPr>
        <w:t>A.2</w:t>
      </w:r>
      <w:r>
        <w:rPr>
          <w:rFonts w:hint="eastAsia"/>
          <w:spacing w:val="20"/>
        </w:rPr>
        <w:t xml:space="preserve"> 测量</w:t>
      </w:r>
      <w:r>
        <w:rPr>
          <w:spacing w:val="20"/>
        </w:rPr>
        <w:t>模型</w:t>
      </w:r>
    </w:p>
    <w:p w14:paraId="6F24FD97">
      <w:pPr>
        <w:tabs>
          <w:tab w:val="right" w:pos="9120"/>
        </w:tabs>
        <w:adjustRightInd w:val="0"/>
        <w:snapToGrid w:val="0"/>
        <w:spacing w:line="360" w:lineRule="auto"/>
        <w:ind w:left="198"/>
        <w:rPr>
          <w:bCs/>
          <w:position w:val="-12"/>
        </w:rPr>
      </w:pPr>
      <w:r>
        <w:rPr>
          <w:rFonts w:hint="eastAsia"/>
        </w:rPr>
        <w:t xml:space="preserve">      </w:t>
      </w:r>
      <w:r>
        <w:rPr>
          <w:rFonts w:hint="eastAsia"/>
          <w:spacing w:val="20"/>
        </w:rPr>
        <w:t xml:space="preserve">               </w:t>
      </w:r>
      <w:r>
        <w:rPr>
          <w:position w:val="-14"/>
        </w:rPr>
        <w:object>
          <v:shape id="_x0000_i1028" o:spt="75" type="#_x0000_t75" style="height:19pt;width:54pt;" o:ole="t" filled="f" o:preferrelative="t" stroked="f" coordsize="21600,21600">
            <v:path/>
            <v:fill on="f" focussize="0,0"/>
            <v:stroke on="f" joinstyle="miter"/>
            <v:imagedata r:id="rId25" o:title=""/>
            <o:lock v:ext="edit" aspectratio="t"/>
            <w10:wrap type="none"/>
            <w10:anchorlock/>
          </v:shape>
          <o:OLEObject Type="Embed" ProgID="Equation.DSMT4" ShapeID="_x0000_i1028" DrawAspect="Content" ObjectID="_1468075728" r:id="rId24">
            <o:LockedField>false</o:LockedField>
          </o:OLEObject>
        </w:object>
      </w:r>
      <w:r>
        <w:rPr>
          <w:rFonts w:hint="eastAsia"/>
        </w:rPr>
        <w:tab/>
      </w:r>
      <w:r>
        <w:rPr>
          <w:rFonts w:hint="eastAsia"/>
          <w:spacing w:val="20"/>
        </w:rPr>
        <w:t>（A.1）</w:t>
      </w:r>
      <w:r>
        <w:rPr>
          <w:rFonts w:hint="eastAsia"/>
        </w:rPr>
        <w:t xml:space="preserve">                 </w:t>
      </w:r>
    </w:p>
    <w:p w14:paraId="79217A2B">
      <w:pPr>
        <w:tabs>
          <w:tab w:val="right" w:pos="9120"/>
        </w:tabs>
        <w:ind w:left="0" w:firstLine="283" w:firstLineChars="118"/>
        <w:rPr>
          <w:spacing w:val="20"/>
        </w:rPr>
      </w:pPr>
      <w:r>
        <w:rPr>
          <w:rFonts w:hint="eastAsia"/>
          <w:position w:val="-12"/>
        </w:rPr>
        <w:t>其中，</w:t>
      </w:r>
      <w:r>
        <w:rPr>
          <w:position w:val="-14"/>
        </w:rPr>
        <w:object>
          <v:shape id="_x0000_i1029" o:spt="75" type="#_x0000_t75" style="height:19pt;width:163pt;" o:ole="t" filled="f" o:preferrelative="t" stroked="f" coordsize="21600,21600">
            <v:path/>
            <v:fill on="f" focussize="0,0"/>
            <v:stroke on="f" joinstyle="miter"/>
            <v:imagedata r:id="rId27" o:title=""/>
            <o:lock v:ext="edit" aspectratio="t"/>
            <w10:wrap type="none"/>
            <w10:anchorlock/>
          </v:shape>
          <o:OLEObject Type="Embed" ProgID="Equation.DSMT4" ShapeID="_x0000_i1029" DrawAspect="Content" ObjectID="_1468075729" r:id="rId26">
            <o:LockedField>false</o:LockedField>
          </o:OLEObject>
        </w:object>
      </w:r>
      <w:r>
        <w:rPr>
          <w:rFonts w:hint="eastAsia"/>
          <w:spacing w:val="20"/>
        </w:rPr>
        <w:tab/>
      </w:r>
      <w:r>
        <w:rPr>
          <w:rFonts w:hint="eastAsia"/>
          <w:spacing w:val="20"/>
        </w:rPr>
        <w:t>（</w:t>
      </w:r>
      <w:r>
        <w:rPr>
          <w:spacing w:val="20"/>
        </w:rPr>
        <w:t>A.</w:t>
      </w:r>
      <w:r>
        <w:rPr>
          <w:rFonts w:hint="eastAsia"/>
          <w:spacing w:val="20"/>
        </w:rPr>
        <w:t>2）</w:t>
      </w:r>
    </w:p>
    <w:p w14:paraId="1458CE9E">
      <w:pPr>
        <w:ind w:left="0" w:firstLine="480" w:firstLineChars="200"/>
      </w:pPr>
      <w:r>
        <w:rPr>
          <w:color w:val="000000"/>
        </w:rPr>
        <w:t>如果</w:t>
      </w:r>
      <w:r>
        <w:t>称重系统</w:t>
      </w:r>
      <w:r>
        <w:rPr>
          <w:color w:val="000000"/>
        </w:rPr>
        <w:t>不具备扩展指示装置，采用</w:t>
      </w:r>
      <w:r>
        <w:rPr>
          <w:position w:val="-14"/>
        </w:rPr>
        <w:object>
          <v:shape id="_x0000_i1030" o:spt="75" type="#_x0000_t75" style="height:19pt;width:144pt;" o:ole="t" filled="f" o:preferrelative="t" stroked="f" coordsize="21600,21600">
            <v:path/>
            <v:fill on="f" focussize="0,0"/>
            <v:stroke on="f" joinstyle="miter"/>
            <v:imagedata r:id="rId29" o:title=""/>
            <o:lock v:ext="edit" aspectratio="t"/>
            <w10:wrap type="none"/>
            <w10:anchorlock/>
          </v:shape>
          <o:OLEObject Type="Embed" ProgID="Equation.DSMT4" ShapeID="_x0000_i1030" DrawAspect="Content" ObjectID="_1468075730" r:id="rId28">
            <o:LockedField>false</o:LockedField>
          </o:OLEObject>
        </w:object>
      </w:r>
      <w:r>
        <w:rPr>
          <w:color w:val="000000"/>
        </w:rPr>
        <w:t>式计算误差，考虑不确定度评定时，0.5</w:t>
      </w:r>
      <w:r>
        <w:rPr>
          <w:rFonts w:hint="eastAsia"/>
          <w:color w:val="000000"/>
        </w:rPr>
        <w:t xml:space="preserve"> </w:t>
      </w:r>
      <w:r>
        <w:rPr>
          <w:i/>
          <w:iCs/>
          <w:color w:val="000000"/>
        </w:rPr>
        <w:t>d</w:t>
      </w:r>
      <w:r>
        <w:rPr>
          <w:color w:val="000000"/>
        </w:rPr>
        <w:t>为常量，不产生不确定度分量，</w:t>
      </w:r>
      <w:r>
        <w:t>Δ</w:t>
      </w:r>
      <w:r>
        <w:rPr>
          <w:i/>
          <w:iCs/>
        </w:rPr>
        <w:t>L</w:t>
      </w:r>
      <w:r>
        <w:rPr>
          <w:color w:val="000000"/>
        </w:rPr>
        <w:t>为附加砝码，相对</w:t>
      </w:r>
      <w:r>
        <w:rPr>
          <w:i/>
          <w:color w:val="000000"/>
        </w:rPr>
        <w:t>I</w:t>
      </w:r>
      <w:r>
        <w:rPr>
          <w:color w:val="000000"/>
        </w:rPr>
        <w:t>和</w:t>
      </w:r>
      <w:r>
        <w:rPr>
          <w:i/>
          <w:color w:val="000000"/>
        </w:rPr>
        <w:t>L</w:t>
      </w:r>
      <w:r>
        <w:rPr>
          <w:color w:val="000000"/>
        </w:rPr>
        <w:t>至少小一个数量级，也可忽略，因而测量模型与（A</w:t>
      </w:r>
      <w:r>
        <w:rPr>
          <w:rFonts w:hint="eastAsia"/>
          <w:color w:val="000000"/>
        </w:rPr>
        <w:t>.1</w:t>
      </w:r>
      <w:r>
        <w:rPr>
          <w:color w:val="000000"/>
        </w:rPr>
        <w:t>）</w:t>
      </w:r>
      <w:r>
        <w:rPr>
          <w:rFonts w:hint="eastAsia"/>
          <w:color w:val="000000"/>
        </w:rPr>
        <w:t>相同。</w:t>
      </w:r>
    </w:p>
    <w:p w14:paraId="2DFB34C7">
      <w:pPr>
        <w:ind w:left="0" w:firstLine="240" w:firstLineChars="100"/>
        <w:rPr>
          <w:spacing w:val="20"/>
        </w:rPr>
      </w:pPr>
      <w:r>
        <w:rPr>
          <w:rFonts w:hint="eastAsia"/>
        </w:rPr>
        <w:t>合成标准不确定度的计算公式：</w:t>
      </w:r>
    </w:p>
    <w:p w14:paraId="192484AC">
      <w:pPr>
        <w:tabs>
          <w:tab w:val="right" w:pos="9120"/>
        </w:tabs>
        <w:ind w:left="0" w:firstLine="1680" w:firstLineChars="700"/>
        <w:rPr>
          <w:spacing w:val="20"/>
        </w:rPr>
      </w:pPr>
      <w:r>
        <w:rPr>
          <w:position w:val="-14"/>
        </w:rPr>
        <w:object>
          <v:shape id="_x0000_i1031" o:spt="75" type="#_x0000_t75" style="height:20pt;width:114.5pt;" o:ole="t" filled="f" o:preferrelative="t" stroked="f" coordsize="21600,21600">
            <v:path/>
            <v:fill on="f" focussize="0,0"/>
            <v:stroke on="f" joinstyle="miter"/>
            <v:imagedata r:id="rId31" o:title=""/>
            <o:lock v:ext="edit" aspectratio="t"/>
            <w10:wrap type="none"/>
            <w10:anchorlock/>
          </v:shape>
          <o:OLEObject Type="Embed" ProgID="Equation.DSMT4" ShapeID="_x0000_i1031" DrawAspect="Content" ObjectID="_1468075731" r:id="rId30">
            <o:LockedField>false</o:LockedField>
          </o:OLEObject>
        </w:object>
      </w:r>
      <w:r>
        <w:rPr>
          <w:rFonts w:hint="eastAsia"/>
          <w:spacing w:val="20"/>
        </w:rPr>
        <w:tab/>
      </w:r>
      <w:r>
        <w:rPr>
          <w:rFonts w:hint="eastAsia"/>
          <w:spacing w:val="20"/>
        </w:rPr>
        <w:t>（</w:t>
      </w:r>
      <w:r>
        <w:rPr>
          <w:spacing w:val="20"/>
        </w:rPr>
        <w:t>A.</w:t>
      </w:r>
      <w:r>
        <w:rPr>
          <w:rFonts w:hint="eastAsia"/>
          <w:spacing w:val="20"/>
        </w:rPr>
        <w:t>3）</w:t>
      </w:r>
    </w:p>
    <w:p w14:paraId="29026DD0">
      <w:pPr>
        <w:tabs>
          <w:tab w:val="right" w:pos="9120"/>
        </w:tabs>
        <w:ind w:left="198"/>
      </w:pPr>
      <w:r>
        <w:rPr>
          <w:rFonts w:hint="eastAsia"/>
          <w:position w:val="-12"/>
        </w:rPr>
        <w:t>其中，</w:t>
      </w:r>
      <w:r>
        <w:rPr>
          <w:position w:val="-14"/>
        </w:rPr>
        <w:object>
          <v:shape id="_x0000_i1032" o:spt="75" type="#_x0000_t75" style="height:20pt;width:258.5pt;" o:ole="t" filled="f" o:preferrelative="t" stroked="f" coordsize="21600,21600">
            <v:path/>
            <v:fill on="f" focussize="0,0"/>
            <v:stroke on="f" joinstyle="miter"/>
            <v:imagedata r:id="rId33" o:title=""/>
            <o:lock v:ext="edit" aspectratio="t"/>
            <w10:wrap type="none"/>
            <w10:anchorlock/>
          </v:shape>
          <o:OLEObject Type="Embed" ProgID="Equation.DSMT4" ShapeID="_x0000_i1032" DrawAspect="Content" ObjectID="_1468075732" r:id="rId32">
            <o:LockedField>false</o:LockedField>
          </o:OLEObject>
        </w:object>
      </w:r>
      <w:r>
        <w:rPr>
          <w:rFonts w:hint="eastAsia"/>
          <w:position w:val="-14"/>
        </w:rPr>
        <w:t xml:space="preserve">                 </w:t>
      </w:r>
      <w:r>
        <w:rPr>
          <w:rFonts w:hint="eastAsia"/>
          <w:spacing w:val="20"/>
        </w:rPr>
        <w:t>（</w:t>
      </w:r>
      <w:r>
        <w:rPr>
          <w:spacing w:val="20"/>
        </w:rPr>
        <w:t>A.</w:t>
      </w:r>
      <w:r>
        <w:rPr>
          <w:rFonts w:hint="eastAsia"/>
          <w:spacing w:val="20"/>
        </w:rPr>
        <w:t>4）</w:t>
      </w:r>
    </w:p>
    <w:p w14:paraId="5D3B884C">
      <w:pPr>
        <w:adjustRightInd w:val="0"/>
        <w:snapToGrid w:val="0"/>
        <w:spacing w:line="360" w:lineRule="auto"/>
        <w:rPr>
          <w:lang w:val="en-GB"/>
        </w:rPr>
      </w:pPr>
      <w:r>
        <w:rPr>
          <w:spacing w:val="20"/>
        </w:rPr>
        <w:t>A.</w:t>
      </w:r>
      <w:r>
        <w:rPr>
          <w:rFonts w:hint="eastAsia"/>
          <w:spacing w:val="20"/>
        </w:rPr>
        <w:t>3</w:t>
      </w:r>
      <w:r>
        <w:rPr>
          <w:rFonts w:hint="eastAsia"/>
          <w:lang w:val="en-GB"/>
        </w:rPr>
        <w:t>标准不确定度评定</w:t>
      </w:r>
    </w:p>
    <w:p w14:paraId="4FE8AD3E">
      <w:pPr>
        <w:ind w:left="141" w:leftChars="59"/>
        <w:rPr>
          <w:bCs/>
        </w:rPr>
      </w:pPr>
      <w:r>
        <w:rPr>
          <w:spacing w:val="20"/>
        </w:rPr>
        <w:t>A.</w:t>
      </w:r>
      <w:r>
        <w:rPr>
          <w:rFonts w:hint="eastAsia"/>
        </w:rPr>
        <w:t xml:space="preserve">3.1 </w:t>
      </w:r>
      <w:r>
        <w:t>称重系统分辨力引入的标准不确定度</w:t>
      </w:r>
      <w:r>
        <w:rPr>
          <w:position w:val="-10"/>
        </w:rPr>
        <w:object>
          <v:shape id="_x0000_i1033" o:spt="75" type="#_x0000_t75" style="height:16.5pt;width:31.5pt;" o:ole="t" filled="f" o:preferrelative="t" stroked="f" coordsize="21600,21600">
            <v:path/>
            <v:fill on="f" focussize="0,0"/>
            <v:stroke on="f" joinstyle="miter"/>
            <v:imagedata r:id="rId35" o:title=""/>
            <o:lock v:ext="edit" aspectratio="t"/>
            <w10:wrap type="none"/>
            <w10:anchorlock/>
          </v:shape>
          <o:OLEObject Type="Embed" ProgID="Equation.DSMT4" ShapeID="_x0000_i1033" DrawAspect="Content" ObjectID="_1468075733" r:id="rId34">
            <o:LockedField>false</o:LockedField>
          </o:OLEObject>
        </w:object>
      </w:r>
    </w:p>
    <w:p w14:paraId="2C4AF100">
      <w:pPr>
        <w:ind w:left="0"/>
        <w:rPr>
          <w:bCs/>
        </w:rPr>
      </w:pPr>
      <w:r>
        <w:rPr>
          <w:rFonts w:hint="eastAsia"/>
        </w:rPr>
        <w:t xml:space="preserve">   </w:t>
      </w:r>
      <w:r>
        <w:t>称重系统分辨力为</w:t>
      </w:r>
      <w:r>
        <w:rPr>
          <w:i/>
        </w:rPr>
        <w:t>d</w:t>
      </w:r>
      <w:r>
        <w:t>，</w:t>
      </w:r>
      <w:r>
        <w:rPr>
          <w:color w:val="000000"/>
        </w:rPr>
        <w:t>使用扩展指示装置，</w:t>
      </w:r>
      <w:r>
        <w:rPr>
          <w:rFonts w:hint="eastAsia"/>
        </w:rPr>
        <w:t>其区间半宽度为</w:t>
      </w:r>
      <w:r>
        <w:rPr>
          <w:position w:val="-6"/>
        </w:rPr>
        <w:object>
          <v:shape id="_x0000_i1034" o:spt="75" type="#_x0000_t75" style="height:14pt;width:40pt;" o:ole="t" filled="f" o:preferrelative="t" stroked="f" coordsize="21600,21600">
            <v:path/>
            <v:fill on="f" focussize="0,0"/>
            <v:stroke on="f" joinstyle="miter"/>
            <v:imagedata r:id="rId37" o:title=""/>
            <o:lock v:ext="edit" aspectratio="t"/>
            <w10:wrap type="none"/>
            <w10:anchorlock/>
          </v:shape>
          <o:OLEObject Type="Embed" ProgID="Equation.DSMT4" ShapeID="_x0000_i1034" DrawAspect="Content" ObjectID="_1468075734" r:id="rId36">
            <o:LockedField>false</o:LockedField>
          </o:OLEObject>
        </w:object>
      </w:r>
      <w:r>
        <w:rPr>
          <w:rFonts w:hint="eastAsia"/>
        </w:rPr>
        <w:t>，服从矩形分布，其标准不确定度为：</w:t>
      </w:r>
    </w:p>
    <w:p w14:paraId="520C5FCC">
      <w:pPr>
        <w:tabs>
          <w:tab w:val="right" w:pos="9120"/>
        </w:tabs>
        <w:ind w:left="0" w:firstLine="1440" w:firstLineChars="600"/>
        <w:rPr>
          <w:bCs/>
        </w:rPr>
      </w:pPr>
      <w:r>
        <w:rPr>
          <w:position w:val="-10"/>
        </w:rPr>
        <w:object>
          <v:shape id="_x0000_i1035" o:spt="75" type="#_x0000_t75" style="height:19pt;width:204.55pt;" o:ole="t" filled="f" o:preferrelative="t" stroked="f" coordsize="21600,21600">
            <v:path/>
            <v:fill on="f" focussize="0,0"/>
            <v:stroke on="f" joinstyle="miter"/>
            <v:imagedata r:id="rId39" o:title=""/>
            <o:lock v:ext="edit" aspectratio="t"/>
            <w10:wrap type="none"/>
            <w10:anchorlock/>
          </v:shape>
          <o:OLEObject Type="Embed" ProgID="Equation.DSMT4" ShapeID="_x0000_i1035" DrawAspect="Content" ObjectID="_1468075735" r:id="rId38">
            <o:LockedField>false</o:LockedField>
          </o:OLEObject>
        </w:object>
      </w:r>
      <w:r>
        <w:rPr>
          <w:rFonts w:hint="eastAsia"/>
          <w:position w:val="-12"/>
        </w:rPr>
        <w:t xml:space="preserve">                      </w:t>
      </w:r>
      <w:r>
        <w:rPr>
          <w:rFonts w:hint="eastAsia"/>
          <w:spacing w:val="20"/>
        </w:rPr>
        <w:t>（</w:t>
      </w:r>
      <w:r>
        <w:rPr>
          <w:spacing w:val="20"/>
        </w:rPr>
        <w:t>A.</w:t>
      </w:r>
      <w:r>
        <w:rPr>
          <w:rFonts w:hint="eastAsia"/>
          <w:spacing w:val="20"/>
        </w:rPr>
        <w:t>5）</w:t>
      </w:r>
    </w:p>
    <w:p w14:paraId="3FC3E3EF">
      <w:pPr>
        <w:ind w:left="141" w:leftChars="59"/>
        <w:rPr>
          <w:bCs/>
        </w:rPr>
      </w:pPr>
      <w:r>
        <w:rPr>
          <w:spacing w:val="20"/>
        </w:rPr>
        <w:t>A.</w:t>
      </w:r>
      <w:r>
        <w:rPr>
          <w:rFonts w:hint="eastAsia"/>
        </w:rPr>
        <w:t>3.2 重复性引起的标准不确定度</w:t>
      </w:r>
      <w:bookmarkStart w:id="141" w:name="OLE_LINK155"/>
      <w:bookmarkStart w:id="142" w:name="OLE_LINK154"/>
      <w:r>
        <w:rPr>
          <w:position w:val="-14"/>
        </w:rPr>
        <w:object>
          <v:shape id="_x0000_i1036" o:spt="75" type="#_x0000_t75" style="height:19pt;width:41.5pt;" o:ole="t" filled="f" o:preferrelative="t" stroked="f" coordsize="21600,21600">
            <v:path/>
            <v:fill on="f" focussize="0,0"/>
            <v:stroke on="f" joinstyle="miter"/>
            <v:imagedata r:id="rId41" o:title=""/>
            <o:lock v:ext="edit" aspectratio="t"/>
            <w10:wrap type="none"/>
            <w10:anchorlock/>
          </v:shape>
          <o:OLEObject Type="Embed" ProgID="Equation.DSMT4" ShapeID="_x0000_i1036" DrawAspect="Content" ObjectID="_1468075736" r:id="rId40">
            <o:LockedField>false</o:LockedField>
          </o:OLEObject>
        </w:object>
      </w:r>
      <w:bookmarkEnd w:id="141"/>
      <w:bookmarkEnd w:id="142"/>
    </w:p>
    <w:p w14:paraId="590C24F5">
      <w:pPr>
        <w:ind w:left="0"/>
        <w:rPr>
          <w:bCs/>
        </w:rPr>
      </w:pPr>
      <w:r>
        <w:rPr>
          <w:rFonts w:hint="eastAsia"/>
        </w:rPr>
        <w:t xml:space="preserve">   重复性为连续加载标准载荷单元测量得到测量列，</w:t>
      </w:r>
      <w:bookmarkStart w:id="143" w:name="OLE_LINK137"/>
      <w:r>
        <w:rPr>
          <w:rFonts w:hint="eastAsia"/>
        </w:rPr>
        <w:t>采用A类方法进行评定</w:t>
      </w:r>
      <w:bookmarkEnd w:id="143"/>
      <w:r>
        <w:rPr>
          <w:rFonts w:hint="eastAsia"/>
        </w:rPr>
        <w:t>。以称重物料罐50%最大称量点，在重复性条件下连续测量3次，得到测量列为：</w:t>
      </w:r>
    </w:p>
    <w:p w14:paraId="41F2C2BD">
      <w:pPr>
        <w:ind w:left="0"/>
        <w:rPr>
          <w:bCs/>
        </w:rPr>
      </w:pPr>
      <w:r>
        <w:rPr>
          <w:rFonts w:hint="eastAsia"/>
          <w:bCs/>
        </w:rPr>
        <w:t>523.05 kg、523.05 kg、523.00 kg。</w:t>
      </w:r>
    </w:p>
    <w:p w14:paraId="1925B08B">
      <w:pPr>
        <w:ind w:left="0" w:firstLine="480" w:firstLineChars="200"/>
        <w:rPr>
          <w:bCs/>
        </w:rPr>
      </w:pPr>
      <w:r>
        <w:rPr>
          <w:position w:val="-14"/>
        </w:rPr>
        <w:object>
          <v:shape id="_x0000_i1037" o:spt="75" type="#_x0000_t75" style="height:19pt;width:41.5pt;" o:ole="t" filled="f" o:preferrelative="t" stroked="f" coordsize="21600,21600">
            <v:path/>
            <v:fill on="f" focussize="0,0"/>
            <v:stroke on="f" joinstyle="miter"/>
            <v:imagedata r:id="rId41" o:title=""/>
            <o:lock v:ext="edit" aspectratio="t"/>
            <w10:wrap type="none"/>
            <w10:anchorlock/>
          </v:shape>
          <o:OLEObject Type="Embed" ProgID="Equation.DSMT4" ShapeID="_x0000_i1037" DrawAspect="Content" ObjectID="_1468075737" r:id="rId42">
            <o:LockedField>false</o:LockedField>
          </o:OLEObject>
        </w:object>
      </w:r>
      <w:r>
        <w:rPr>
          <w:rFonts w:hint="eastAsia"/>
        </w:rPr>
        <w:t>表示称重物料罐重复性，用极差法来表示，其标准不确定度为：</w:t>
      </w:r>
    </w:p>
    <w:p w14:paraId="55F27CD7">
      <w:pPr>
        <w:tabs>
          <w:tab w:val="right" w:pos="9120"/>
        </w:tabs>
        <w:ind w:left="0" w:firstLine="1440" w:firstLineChars="600"/>
        <w:rPr>
          <w:bCs/>
        </w:rPr>
      </w:pPr>
      <w:bookmarkStart w:id="144" w:name="OLE_LINK139"/>
      <w:bookmarkStart w:id="145" w:name="OLE_LINK138"/>
      <w:r>
        <w:rPr>
          <w:position w:val="-24"/>
        </w:rPr>
        <w:object>
          <v:shape id="_x0000_i1038" o:spt="75" type="#_x0000_t75" style="height:30.5pt;width:142.3pt;" o:ole="t" filled="f" o:preferrelative="t" stroked="f" coordsize="21600,21600">
            <v:path/>
            <v:fill on="f" focussize="0,0"/>
            <v:stroke on="f" joinstyle="miter"/>
            <v:imagedata r:id="rId44" o:title=""/>
            <o:lock v:ext="edit" aspectratio="t"/>
            <w10:wrap type="none"/>
            <w10:anchorlock/>
          </v:shape>
          <o:OLEObject Type="Embed" ProgID="Equation.DSMT4" ShapeID="_x0000_i1038" DrawAspect="Content" ObjectID="_1468075738" r:id="rId43">
            <o:LockedField>false</o:LockedField>
          </o:OLEObject>
        </w:object>
      </w:r>
      <w:bookmarkEnd w:id="144"/>
      <w:bookmarkEnd w:id="145"/>
      <w:r>
        <w:rPr>
          <w:rFonts w:hint="eastAsia"/>
          <w:position w:val="-14"/>
        </w:rPr>
        <w:t xml:space="preserve">                               </w:t>
      </w:r>
      <w:r>
        <w:rPr>
          <w:rFonts w:hint="eastAsia"/>
          <w:spacing w:val="20"/>
        </w:rPr>
        <w:t>（</w:t>
      </w:r>
      <w:r>
        <w:rPr>
          <w:spacing w:val="20"/>
        </w:rPr>
        <w:t>A.</w:t>
      </w:r>
      <w:r>
        <w:rPr>
          <w:rFonts w:hint="eastAsia"/>
          <w:spacing w:val="20"/>
        </w:rPr>
        <w:t>6）</w:t>
      </w:r>
    </w:p>
    <w:p w14:paraId="52AC34B9">
      <w:pPr>
        <w:ind w:left="0" w:firstLine="480"/>
        <w:rPr>
          <w:bCs/>
        </w:rPr>
      </w:pPr>
      <w:r>
        <w:rPr>
          <w:rFonts w:hint="eastAsia"/>
        </w:rPr>
        <w:t>因为只进行一组重复性测量，则该测量的重复性引入的不确定度分量代表称重物料罐整个量程的重复性不确定度。</w:t>
      </w:r>
    </w:p>
    <w:p w14:paraId="336F7746">
      <w:pPr>
        <w:ind w:left="0"/>
        <w:rPr>
          <w:bCs/>
        </w:rPr>
      </w:pPr>
      <w:bookmarkStart w:id="146" w:name="OLE_LINK149"/>
      <w:r>
        <w:rPr>
          <w:spacing w:val="20"/>
        </w:rPr>
        <w:t>A.</w:t>
      </w:r>
      <w:r>
        <w:rPr>
          <w:rFonts w:hint="eastAsia"/>
        </w:rPr>
        <w:t>3.3 同一载荷在不同位置的重心偏离引起的标准不确定度</w:t>
      </w:r>
      <w:bookmarkStart w:id="147" w:name="OLE_LINK143"/>
      <w:bookmarkStart w:id="148" w:name="OLE_LINK142"/>
      <w:r>
        <w:rPr>
          <w:position w:val="-12"/>
        </w:rPr>
        <w:object>
          <v:shape id="_x0000_i1039" o:spt="75" type="#_x0000_t75" style="height:18pt;width:41.5pt;" o:ole="t" filled="f" o:preferrelative="t" stroked="f" coordsize="21600,21600">
            <v:path/>
            <v:fill on="f" focussize="0,0"/>
            <v:stroke on="f" joinstyle="miter"/>
            <v:imagedata r:id="rId46" o:title=""/>
            <o:lock v:ext="edit" aspectratio="t"/>
            <w10:wrap type="none"/>
            <w10:anchorlock/>
          </v:shape>
          <o:OLEObject Type="Embed" ProgID="Equation.DSMT4" ShapeID="_x0000_i1039" DrawAspect="Content" ObjectID="_1468075739" r:id="rId45">
            <o:LockedField>false</o:LockedField>
          </o:OLEObject>
        </w:object>
      </w:r>
      <w:bookmarkEnd w:id="147"/>
      <w:bookmarkEnd w:id="148"/>
      <w:r>
        <w:rPr>
          <w:rFonts w:hint="eastAsia"/>
        </w:rPr>
        <w:t>（若适用）</w:t>
      </w:r>
    </w:p>
    <w:bookmarkEnd w:id="146"/>
    <w:p w14:paraId="563F78A4">
      <w:pPr>
        <w:ind w:left="0" w:firstLine="480" w:firstLineChars="200"/>
      </w:pPr>
      <w:bookmarkStart w:id="149" w:name="OLE_LINK12"/>
      <w:bookmarkStart w:id="150" w:name="OLE_LINK20"/>
      <w:bookmarkStart w:id="151" w:name="OLE_LINK13"/>
      <w:r>
        <w:rPr>
          <w:position w:val="-12"/>
        </w:rPr>
        <w:object>
          <v:shape id="_x0000_i1040" o:spt="75" type="#_x0000_t75" style="height:18pt;width:25pt;" o:ole="t" filled="f" o:preferrelative="t" stroked="f" coordsize="21600,21600">
            <v:path/>
            <v:fill on="f" focussize="0,0"/>
            <v:stroke on="f" joinstyle="miter"/>
            <v:imagedata r:id="rId48" o:title=""/>
            <o:lock v:ext="edit" aspectratio="t"/>
            <w10:wrap type="none"/>
            <w10:anchorlock/>
          </v:shape>
          <o:OLEObject Type="Embed" ProgID="Equation.DSMT4" ShapeID="_x0000_i1040" DrawAspect="Content" ObjectID="_1468075740" r:id="rId47">
            <o:LockedField>false</o:LockedField>
          </o:OLEObject>
        </w:object>
      </w:r>
      <w:bookmarkEnd w:id="149"/>
      <w:bookmarkEnd w:id="150"/>
      <w:bookmarkEnd w:id="151"/>
      <w:r>
        <w:t>表示由于试验载荷重心的偏心位置引起的误差</w:t>
      </w:r>
      <w:bookmarkStart w:id="152" w:name="OLE_LINK14"/>
      <w:bookmarkStart w:id="153" w:name="OLE_LINK15"/>
      <w:r>
        <w:rPr>
          <w:rFonts w:hint="eastAsia"/>
        </w:rPr>
        <w:t>。</w:t>
      </w:r>
    </w:p>
    <w:p w14:paraId="5C041EF7">
      <w:pPr>
        <w:ind w:left="0" w:firstLine="480" w:firstLineChars="200"/>
      </w:pPr>
      <w:r>
        <w:rPr>
          <w:rFonts w:hint="eastAsia"/>
        </w:rPr>
        <w:t>公式</w:t>
      </w:r>
      <w:r>
        <w:rPr>
          <w:position w:val="-12"/>
        </w:rPr>
        <w:object>
          <v:shape id="_x0000_i1041" o:spt="75" type="#_x0000_t75" style="height:18pt;width:73pt;" o:ole="t" filled="f" o:preferrelative="t" stroked="f" coordsize="21600,21600">
            <v:path/>
            <v:fill on="f" focussize="0,0"/>
            <v:stroke on="f" joinstyle="miter"/>
            <v:imagedata r:id="rId50" o:title=""/>
            <o:lock v:ext="edit" aspectratio="t"/>
            <w10:wrap type="none"/>
            <w10:anchorlock/>
          </v:shape>
          <o:OLEObject Type="Embed" ProgID="Equation.DSMT4" ShapeID="_x0000_i1041" DrawAspect="Content" ObjectID="_1468075741" r:id="rId49">
            <o:LockedField>false</o:LockedField>
          </o:OLEObject>
        </w:object>
      </w:r>
      <w:bookmarkEnd w:id="152"/>
      <w:bookmarkEnd w:id="153"/>
      <w:r>
        <w:t>，</w:t>
      </w:r>
      <w:bookmarkStart w:id="154" w:name="OLE_LINK18"/>
      <w:r>
        <w:t>其中，</w:t>
      </w:r>
      <w:r>
        <w:rPr>
          <w:rFonts w:hint="eastAsia"/>
          <w:i/>
        </w:rPr>
        <w:t>I</w:t>
      </w:r>
      <w:r>
        <w:rPr>
          <w:rFonts w:hint="eastAsia"/>
          <w:i/>
          <w:vertAlign w:val="subscript"/>
        </w:rPr>
        <w:t>Li</w:t>
      </w:r>
      <w:r>
        <w:rPr>
          <w:rFonts w:hint="eastAsia"/>
        </w:rPr>
        <w:t>为</w:t>
      </w:r>
      <w:bookmarkEnd w:id="154"/>
      <w:r>
        <w:rPr>
          <w:rFonts w:hint="eastAsia"/>
        </w:rPr>
        <w:t>第</w:t>
      </w:r>
      <w:r>
        <w:t>i</w:t>
      </w:r>
      <w:r>
        <w:rPr>
          <w:rFonts w:hint="eastAsia"/>
        </w:rPr>
        <w:t>个位置显示值，</w:t>
      </w:r>
      <w:r>
        <w:rPr>
          <w:rFonts w:hint="eastAsia"/>
          <w:i/>
        </w:rPr>
        <w:t>I</w:t>
      </w:r>
      <w:r>
        <w:rPr>
          <w:rFonts w:hint="eastAsia"/>
          <w:i/>
          <w:vertAlign w:val="subscript"/>
        </w:rPr>
        <w:t>L</w:t>
      </w:r>
      <w:r>
        <w:rPr>
          <w:rFonts w:hint="eastAsia"/>
          <w:iCs/>
          <w:vertAlign w:val="subscript"/>
        </w:rPr>
        <w:t>1</w:t>
      </w:r>
      <w:r>
        <w:rPr>
          <w:rFonts w:hint="eastAsia"/>
        </w:rPr>
        <w:t>为载荷均匀分布时，即位置1的示值。</w:t>
      </w:r>
      <w:r>
        <w:rPr>
          <w:position w:val="-12"/>
        </w:rPr>
        <w:object>
          <v:shape id="_x0000_i1042" o:spt="75" type="#_x0000_t75" style="height:18pt;width:25pt;" o:ole="t" filled="f" o:preferrelative="t" stroked="f" coordsize="21600,21600">
            <v:path/>
            <v:fill on="f" focussize="0,0"/>
            <v:stroke on="f" joinstyle="miter"/>
            <v:imagedata r:id="rId52" o:title=""/>
            <o:lock v:ext="edit" aspectratio="t"/>
            <w10:wrap type="none"/>
            <w10:anchorlock/>
          </v:shape>
          <o:OLEObject Type="Embed" ProgID="Equation.DSMT4" ShapeID="_x0000_i1042" DrawAspect="Content" ObjectID="_1468075742" r:id="rId51">
            <o:LockedField>false</o:LockedField>
          </o:OLEObject>
        </w:object>
      </w:r>
      <w:r>
        <w:t>与载荷重心到承载器中心的距离成比例，与载荷值成比例</w:t>
      </w:r>
      <w:r>
        <w:rPr>
          <w:rFonts w:hint="eastAsia"/>
        </w:rPr>
        <w:t>。</w:t>
      </w:r>
    </w:p>
    <w:p w14:paraId="2524DF72">
      <w:pPr>
        <w:ind w:left="0" w:firstLine="480" w:firstLineChars="200"/>
        <w:rPr>
          <w:bCs/>
        </w:rPr>
      </w:pPr>
      <w:r>
        <w:rPr>
          <w:rFonts w:hint="eastAsia"/>
        </w:rPr>
        <w:t>载荷在不同位置的测量值：</w:t>
      </w:r>
      <w:r>
        <w:rPr>
          <w:bCs/>
        </w:rPr>
        <w:t xml:space="preserve"> </w:t>
      </w:r>
    </w:p>
    <w:p w14:paraId="129CD99B">
      <w:pPr>
        <w:ind w:left="0" w:firstLine="480" w:firstLineChars="200"/>
        <w:rPr>
          <w:bCs/>
        </w:rPr>
      </w:pPr>
      <w:r>
        <w:rPr>
          <w:rFonts w:hint="eastAsia"/>
        </w:rPr>
        <w:t>1：353.85 kg，2：353.95 kg，3：353.85 kg，4：353.95kg，5：353.95 kg。</w:t>
      </w:r>
    </w:p>
    <w:p w14:paraId="2654C3D6">
      <w:pPr>
        <w:ind w:left="0" w:firstLine="480" w:firstLineChars="200"/>
        <w:rPr>
          <w:bCs/>
        </w:rPr>
      </w:pPr>
      <w:r>
        <w:t>​</w:t>
      </w:r>
      <w:r>
        <w:rPr>
          <w:position w:val="-12"/>
        </w:rPr>
        <w:object>
          <v:shape id="_x0000_i1043" o:spt="75" type="#_x0000_t75" style="height:18pt;width:20pt;" o:ole="t" filled="f" o:preferrelative="t" stroked="f" coordsize="21600,21600">
            <v:path/>
            <v:fill on="f" focussize="0,0"/>
            <v:stroke on="f" joinstyle="miter"/>
            <v:imagedata r:id="rId54" o:title=""/>
            <o:lock v:ext="edit" aspectratio="t"/>
            <w10:wrap type="none"/>
            <w10:anchorlock/>
          </v:shape>
          <o:OLEObject Type="Embed" ProgID="Equation.DSMT4" ShapeID="_x0000_i1043" DrawAspect="Content" ObjectID="_1468075743" r:id="rId53">
            <o:LockedField>false</o:LockedField>
          </o:OLEObject>
        </w:object>
      </w:r>
      <w:r>
        <w:t>为偏载试验所用载荷标称值，</w:t>
      </w:r>
      <w:r>
        <w:rPr>
          <w:rFonts w:hint="eastAsia"/>
          <w:i/>
        </w:rPr>
        <w:t>I</w:t>
      </w:r>
      <w:r>
        <w:t>为载荷在不同位置的示值。其最大</w:t>
      </w:r>
      <w:r>
        <w:rPr>
          <w:rFonts w:hint="eastAsia"/>
        </w:rPr>
        <w:t>差值</w:t>
      </w:r>
      <w:r>
        <w:rPr>
          <w:position w:val="-14"/>
        </w:rPr>
        <w:object>
          <v:shape id="_x0000_i1044" o:spt="75" type="#_x0000_t75" style="height:20pt;width:43pt;" o:ole="t" filled="f" o:preferrelative="t" stroked="f" coordsize="21600,21600">
            <v:path/>
            <v:fill on="f" focussize="0,0"/>
            <v:stroke on="f" joinstyle="miter"/>
            <v:imagedata r:id="rId56" o:title=""/>
            <o:lock v:ext="edit" aspectratio="t"/>
            <w10:wrap type="none"/>
            <w10:anchorlock/>
          </v:shape>
          <o:OLEObject Type="Embed" ProgID="Equation.DSMT4" ShapeID="_x0000_i1044" DrawAspect="Content" ObjectID="_1468075744" r:id="rId55">
            <o:LockedField>false</o:LockedField>
          </o:OLEObject>
        </w:object>
      </w:r>
      <w:r>
        <w:t>符合</w:t>
      </w:r>
      <w:r>
        <w:rPr>
          <w:rFonts w:hint="eastAsia"/>
        </w:rPr>
        <w:t>矩形</w:t>
      </w:r>
      <w:r>
        <w:t>分布</w:t>
      </w:r>
      <w:bookmarkStart w:id="155" w:name="OLE_LINK153"/>
      <w:r>
        <w:t>，</w:t>
      </w:r>
      <w:r>
        <w:rPr>
          <w:rFonts w:hint="eastAsia"/>
        </w:rPr>
        <w:t>其</w:t>
      </w:r>
      <w:r>
        <w:t>标准不确定度为</w:t>
      </w:r>
      <w:bookmarkEnd w:id="155"/>
      <w:r>
        <w:t>：</w:t>
      </w:r>
    </w:p>
    <w:p w14:paraId="1CE9A8E2">
      <w:pPr>
        <w:tabs>
          <w:tab w:val="right" w:pos="9120"/>
        </w:tabs>
        <w:ind w:left="0" w:firstLine="480" w:firstLineChars="200"/>
        <w:rPr>
          <w:position w:val="-14"/>
        </w:rPr>
      </w:pPr>
      <w:r>
        <w:rPr>
          <w:rFonts w:hint="eastAsia"/>
          <w:color w:val="00B050"/>
          <w:position w:val="-10"/>
        </w:rPr>
        <w:t xml:space="preserve">  </w:t>
      </w:r>
      <w:r>
        <w:rPr>
          <w:position w:val="-14"/>
        </w:rPr>
        <w:object>
          <v:shape id="_x0000_i1045" o:spt="75" type="#_x0000_t75" style="height:21.5pt;width:151pt;" o:ole="t" filled="f" o:preferrelative="t" stroked="f" coordsize="21600,21600">
            <v:path/>
            <v:fill on="f" focussize="0,0"/>
            <v:stroke on="f" joinstyle="miter"/>
            <v:imagedata r:id="rId58" o:title=""/>
            <o:lock v:ext="edit" aspectratio="t"/>
            <w10:wrap type="none"/>
            <w10:anchorlock/>
          </v:shape>
          <o:OLEObject Type="Embed" ProgID="Equation.DSMT4" ShapeID="_x0000_i1045" DrawAspect="Content" ObjectID="_1468075745" r:id="rId57">
            <o:LockedField>false</o:LockedField>
          </o:OLEObject>
        </w:object>
      </w:r>
      <w:r>
        <w:rPr>
          <w:rFonts w:hint="eastAsia"/>
          <w:position w:val="-14"/>
        </w:rPr>
        <w:t xml:space="preserve">                                      </w:t>
      </w:r>
      <w:bookmarkStart w:id="156" w:name="OLE_LINK24"/>
      <w:bookmarkStart w:id="157" w:name="OLE_LINK25"/>
      <w:r>
        <w:rPr>
          <w:rFonts w:hint="eastAsia"/>
          <w:spacing w:val="20"/>
        </w:rPr>
        <w:t>（</w:t>
      </w:r>
      <w:r>
        <w:rPr>
          <w:spacing w:val="20"/>
        </w:rPr>
        <w:t>A.</w:t>
      </w:r>
      <w:r>
        <w:rPr>
          <w:rFonts w:hint="eastAsia"/>
          <w:spacing w:val="20"/>
        </w:rPr>
        <w:t>7）</w:t>
      </w:r>
      <w:bookmarkEnd w:id="156"/>
      <w:bookmarkEnd w:id="157"/>
    </w:p>
    <w:p w14:paraId="4B00AC29">
      <w:pPr>
        <w:ind w:left="1485" w:leftChars="619" w:firstLine="1920" w:firstLineChars="800"/>
      </w:pPr>
      <m:oMathPara>
        <m:oMathParaPr>
          <m:jc m:val="left"/>
        </m:oMathParaPr>
        <m:oMath>
          <m:r>
            <m:rPr>
              <m:nor/>
              <m:sty m:val="p"/>
            </m:rPr>
            <w:rPr>
              <w:b w:val="0"/>
              <w:i w:val="0"/>
            </w:rPr>
            <m:t>=953.85kg×0.1kg/(2×353.85kg×</m:t>
          </m:r>
          <m:rad>
            <m:radPr>
              <m:degHide m:val="1"/>
              <m:ctrlPr>
                <w:rPr>
                  <w:rFonts w:ascii="Cambria Math" w:hAnsi="Cambria Math"/>
                </w:rPr>
              </m:ctrlPr>
            </m:radPr>
            <m:deg>
              <m:ctrlPr>
                <w:rPr>
                  <w:rFonts w:ascii="Cambria Math" w:hAnsi="Cambria Math"/>
                </w:rPr>
              </m:ctrlPr>
            </m:deg>
            <m:e>
              <m:r>
                <m:rPr>
                  <m:nor/>
                  <m:sty m:val="p"/>
                </m:rPr>
                <w:rPr>
                  <w:b w:val="0"/>
                  <w:i w:val="0"/>
                </w:rPr>
                <m:t>3</m:t>
              </m:r>
              <m:ctrlPr>
                <w:rPr>
                  <w:rFonts w:ascii="Cambria Math" w:hAnsi="Cambria Math"/>
                </w:rPr>
              </m:ctrlPr>
            </m:e>
          </m:rad>
          <m:r>
            <m:rPr>
              <m:nor/>
              <m:sty m:val="p"/>
            </m:rPr>
            <w:rPr>
              <w:b w:val="0"/>
              <w:i w:val="0"/>
            </w:rPr>
            <m:t>)</m:t>
          </m:r>
        </m:oMath>
      </m:oMathPara>
    </w:p>
    <w:p w14:paraId="73D9745D">
      <w:pPr>
        <w:ind w:left="0" w:firstLine="1504" w:firstLineChars="627"/>
        <w:rPr>
          <w:color w:val="00B050"/>
          <w:position w:val="-28"/>
        </w:rPr>
      </w:pPr>
      <w:r>
        <w:rPr>
          <w:rFonts w:hint="eastAsia"/>
          <w:position w:val="-8"/>
        </w:rPr>
        <w:t>= 0.092 kg</w:t>
      </w:r>
    </w:p>
    <w:p w14:paraId="7851FAF5">
      <w:pPr>
        <w:ind w:left="0"/>
        <w:rPr>
          <w:position w:val="-12"/>
        </w:rPr>
      </w:pPr>
      <w:r>
        <w:rPr>
          <w:spacing w:val="20"/>
        </w:rPr>
        <w:t>A.</w:t>
      </w:r>
      <w:r>
        <w:rPr>
          <w:rFonts w:hint="eastAsia"/>
        </w:rPr>
        <w:t xml:space="preserve">3.4 </w:t>
      </w:r>
      <w:bookmarkStart w:id="158" w:name="OLE_LINK280"/>
      <w:bookmarkStart w:id="159" w:name="OLE_LINK281"/>
      <w:r>
        <w:rPr>
          <w:rFonts w:hint="eastAsia"/>
        </w:rPr>
        <w:t>蠕变和滞后引起的标准不确定度</w:t>
      </w:r>
      <w:bookmarkStart w:id="160" w:name="OLE_LINK150"/>
      <w:bookmarkStart w:id="161" w:name="OLE_LINK152"/>
      <w:r>
        <w:rPr>
          <w:position w:val="-12"/>
        </w:rPr>
        <w:object>
          <v:shape id="_x0000_i1046" o:spt="75" type="#_x0000_t75" style="height:18pt;width:44.5pt;" o:ole="t" filled="f" o:preferrelative="t" stroked="f" coordsize="21600,21600">
            <v:path/>
            <v:fill on="f" focussize="0,0"/>
            <v:stroke on="f" joinstyle="miter"/>
            <v:imagedata r:id="rId60" o:title=""/>
            <o:lock v:ext="edit" aspectratio="t"/>
            <w10:wrap type="none"/>
            <w10:anchorlock/>
          </v:shape>
          <o:OLEObject Type="Embed" ProgID="Equation.DSMT4" ShapeID="_x0000_i1046" DrawAspect="Content" ObjectID="_1468075746" r:id="rId59">
            <o:LockedField>false</o:LockedField>
          </o:OLEObject>
        </w:object>
      </w:r>
      <w:bookmarkEnd w:id="158"/>
      <w:bookmarkEnd w:id="159"/>
      <w:bookmarkEnd w:id="160"/>
      <w:bookmarkEnd w:id="161"/>
      <w:r>
        <w:rPr>
          <w:rFonts w:hint="eastAsia"/>
        </w:rPr>
        <w:t>（若适用）</w:t>
      </w:r>
    </w:p>
    <w:p w14:paraId="7C158DD9">
      <w:pPr>
        <w:ind w:left="0" w:firstLine="480" w:firstLineChars="200"/>
      </w:pPr>
      <w:r>
        <w:t>由于量程较大，要不断进行加/卸载，所用时间较长，因此需要考虑蠕变和滞后的影响。可</w:t>
      </w:r>
      <w:r>
        <w:rPr>
          <w:rFonts w:hint="eastAsia"/>
        </w:rPr>
        <w:t>将</w:t>
      </w:r>
      <w:r>
        <w:t>相同载荷在进程和回程的最大差值Δ</w:t>
      </w:r>
      <w:r>
        <w:rPr>
          <w:rFonts w:hint="eastAsia"/>
          <w:vertAlign w:val="subscript"/>
        </w:rPr>
        <w:t>jmax</w:t>
      </w:r>
      <w:r>
        <w:t>作为蠕变和滞后影响的极限值</w:t>
      </w:r>
      <w:r>
        <w:rPr>
          <w:rFonts w:hint="eastAsia"/>
        </w:rPr>
        <w:t>。</w:t>
      </w:r>
      <w:r>
        <w:t>如无此数据，可把最后</w:t>
      </w:r>
      <w:bookmarkStart w:id="162" w:name="OLE_LINK290"/>
      <w:r>
        <w:t>回零时零点示值</w:t>
      </w:r>
      <w:r>
        <w:rPr>
          <w:rFonts w:hint="eastAsia"/>
          <w:i/>
        </w:rPr>
        <w:t>E</w:t>
      </w:r>
      <w:r>
        <w:rPr>
          <w:rFonts w:hint="eastAsia"/>
          <w:vertAlign w:val="subscript"/>
        </w:rPr>
        <w:t>0</w:t>
      </w:r>
      <w:bookmarkEnd w:id="162"/>
      <w:r>
        <w:t>作为蠕变和滞后的影响的极限值</w:t>
      </w:r>
      <w:r>
        <w:rPr>
          <w:rFonts w:hint="eastAsia"/>
        </w:rPr>
        <w:t>，其标准不确定度为：</w:t>
      </w:r>
    </w:p>
    <w:p w14:paraId="61EFBFFB">
      <w:pPr>
        <w:ind w:left="0" w:firstLine="480" w:firstLineChars="200"/>
      </w:pPr>
      <w:r>
        <w:rPr>
          <w:position w:val="-12"/>
        </w:rPr>
        <w:object>
          <v:shape id="_x0000_i1047" o:spt="75" type="#_x0000_t75" style="height:20pt;width:155.25pt;" o:ole="t" filled="f" o:preferrelative="t" stroked="f" coordsize="21600,21600">
            <v:path/>
            <v:fill on="f" focussize="0,0"/>
            <v:stroke on="f" joinstyle="miter"/>
            <v:imagedata r:id="rId62" o:title=""/>
            <o:lock v:ext="edit" aspectratio="t"/>
            <w10:wrap type="none"/>
            <w10:anchorlock/>
          </v:shape>
          <o:OLEObject Type="Embed" ProgID="Equation.DSMT4" ShapeID="_x0000_i1047" DrawAspect="Content" ObjectID="_1468075747" r:id="rId61">
            <o:LockedField>false</o:LockedField>
          </o:OLEObject>
        </w:object>
      </w:r>
      <w:r>
        <w:rPr>
          <w:rFonts w:hint="eastAsia"/>
          <w:position w:val="-12"/>
        </w:rPr>
        <w:t xml:space="preserve">                                       </w:t>
      </w:r>
      <w:r>
        <w:rPr>
          <w:rFonts w:hint="eastAsia"/>
          <w:spacing w:val="20"/>
        </w:rPr>
        <w:t>（</w:t>
      </w:r>
      <w:r>
        <w:rPr>
          <w:spacing w:val="20"/>
        </w:rPr>
        <w:t>A.</w:t>
      </w:r>
      <w:r>
        <w:rPr>
          <w:rFonts w:hint="eastAsia"/>
          <w:spacing w:val="20"/>
        </w:rPr>
        <w:t>8）</w:t>
      </w:r>
    </w:p>
    <w:p w14:paraId="45A4EDA7">
      <w:pPr>
        <w:ind w:left="0" w:firstLine="1416" w:firstLineChars="590"/>
        <w:rPr>
          <w:position w:val="-8"/>
        </w:rPr>
      </w:pPr>
      <w:r>
        <w:rPr>
          <w:position w:val="-10"/>
        </w:rPr>
        <w:object>
          <v:shape id="_x0000_i1048" o:spt="75" type="#_x0000_t75" style="height:19pt;width:202.65pt;" o:ole="t" filled="f" o:preferrelative="t" stroked="f" coordsize="21600,21600">
            <v:path/>
            <v:fill on="f" focussize="0,0"/>
            <v:stroke on="f" joinstyle="miter"/>
            <v:imagedata r:id="rId64" o:title=""/>
            <o:lock v:ext="edit" aspectratio="t"/>
            <w10:wrap type="none"/>
            <w10:anchorlock/>
          </v:shape>
          <o:OLEObject Type="Embed" ProgID="Equation.DSMT4" ShapeID="_x0000_i1048" DrawAspect="Content" ObjectID="_1468075748" r:id="rId63">
            <o:LockedField>false</o:LockedField>
          </o:OLEObject>
        </w:object>
      </w:r>
    </w:p>
    <w:p w14:paraId="633E07F7">
      <w:pPr>
        <w:ind w:left="0" w:firstLine="480" w:firstLineChars="200"/>
      </w:pPr>
      <w:r>
        <w:rPr>
          <w:rFonts w:hint="eastAsia"/>
          <w:position w:val="-8"/>
        </w:rPr>
        <w:t xml:space="preserve">        </w:t>
      </w:r>
      <w:bookmarkStart w:id="163" w:name="OLE_LINK26"/>
      <w:r>
        <w:rPr>
          <w:rFonts w:hint="eastAsia"/>
          <w:position w:val="-8"/>
        </w:rPr>
        <w:t>=0.014 kg</w:t>
      </w:r>
      <w:bookmarkEnd w:id="163"/>
    </w:p>
    <w:p w14:paraId="5DC488F0">
      <w:pPr>
        <w:ind w:left="0"/>
        <w:rPr>
          <w:bCs/>
        </w:rPr>
      </w:pPr>
      <w:r>
        <w:rPr>
          <w:spacing w:val="20"/>
        </w:rPr>
        <w:t>A.</w:t>
      </w:r>
      <w:r>
        <w:rPr>
          <w:rFonts w:hint="eastAsia"/>
        </w:rPr>
        <w:t>3.5 示值的标准不确定度</w:t>
      </w:r>
    </w:p>
    <w:p w14:paraId="57C642D7">
      <w:pPr>
        <w:ind w:left="0" w:firstLine="424" w:firstLineChars="177"/>
        <w:rPr>
          <w:position w:val="-16"/>
        </w:rPr>
      </w:pPr>
      <w:r>
        <w:rPr>
          <w:position w:val="-16"/>
        </w:rPr>
        <w:object>
          <v:shape id="_x0000_i1049" o:spt="75" type="#_x0000_t75" style="height:24pt;width:292pt;" o:ole="t" filled="f" o:preferrelative="t" stroked="f" coordsize="21600,21600">
            <v:path/>
            <v:fill on="f" focussize="0,0"/>
            <v:stroke on="f" joinstyle="miter"/>
            <v:imagedata r:id="rId66" o:title=""/>
            <o:lock v:ext="edit" aspectratio="t"/>
            <w10:wrap type="none"/>
            <w10:anchorlock/>
          </v:shape>
          <o:OLEObject Type="Embed" ProgID="Equation.DSMT4" ShapeID="_x0000_i1049" DrawAspect="Content" ObjectID="_1468075749" r:id="rId65">
            <o:LockedField>false</o:LockedField>
          </o:OLEObject>
        </w:object>
      </w:r>
      <w:r>
        <w:rPr>
          <w:rFonts w:hint="eastAsia"/>
          <w:position w:val="-16"/>
        </w:rPr>
        <w:t xml:space="preserve">                 </w:t>
      </w:r>
      <w:bookmarkStart w:id="164" w:name="OLE_LINK157"/>
      <w:bookmarkStart w:id="165" w:name="OLE_LINK156"/>
      <w:r>
        <w:rPr>
          <w:rFonts w:hint="eastAsia"/>
          <w:spacing w:val="20"/>
        </w:rPr>
        <w:t>（</w:t>
      </w:r>
      <w:r>
        <w:rPr>
          <w:spacing w:val="20"/>
        </w:rPr>
        <w:t>A.</w:t>
      </w:r>
      <w:r>
        <w:rPr>
          <w:rFonts w:hint="eastAsia"/>
          <w:spacing w:val="20"/>
        </w:rPr>
        <w:t>9）</w:t>
      </w:r>
      <w:bookmarkEnd w:id="164"/>
      <w:bookmarkEnd w:id="165"/>
      <w:r>
        <w:rPr>
          <w:rFonts w:hint="eastAsia"/>
          <w:position w:val="-16"/>
        </w:rPr>
        <w:t xml:space="preserve"> </w:t>
      </w:r>
    </w:p>
    <w:p w14:paraId="6BFF2245">
      <w:pPr>
        <w:spacing w:before="156" w:after="156"/>
        <w:ind w:left="480" w:hanging="480"/>
        <w:rPr>
          <w:lang w:val="en-GB"/>
        </w:rPr>
      </w:pPr>
      <w:r>
        <w:rPr>
          <w:spacing w:val="20"/>
        </w:rPr>
        <w:t>A.</w:t>
      </w:r>
      <w:r>
        <w:rPr>
          <w:rFonts w:hint="eastAsia"/>
          <w:lang w:val="en-GB"/>
        </w:rPr>
        <w:t>4  试验载荷的不确定度评定</w:t>
      </w:r>
    </w:p>
    <w:p w14:paraId="35D2AE0C">
      <w:pPr>
        <w:ind w:left="0"/>
        <w:textAlignment w:val="center"/>
        <w:rPr>
          <w:position w:val="-14"/>
        </w:rPr>
      </w:pPr>
      <w:r>
        <w:rPr>
          <w:rFonts w:hint="eastAsia"/>
          <w:position w:val="-14"/>
        </w:rPr>
        <w:t xml:space="preserve">   </w:t>
      </w:r>
      <w:r>
        <w:rPr>
          <w:position w:val="-14"/>
        </w:rPr>
        <w:t>试验载荷由标准砝码和替代载荷组成，</w:t>
      </w:r>
      <w:r>
        <w:rPr>
          <w:position w:val="-14"/>
        </w:rPr>
        <w:object>
          <v:shape id="_x0000_i1050" o:spt="75" type="#_x0000_t75" style="height:19pt;width:163pt;" o:ole="t" filled="f" o:preferrelative="t" stroked="f" coordsize="21600,21600">
            <v:path/>
            <v:fill on="f" focussize="0,0"/>
            <v:stroke on="f" joinstyle="miter"/>
            <v:imagedata r:id="rId27" o:title=""/>
            <o:lock v:ext="edit" aspectratio="t"/>
            <w10:wrap type="none"/>
            <w10:anchorlock/>
          </v:shape>
          <o:OLEObject Type="Embed" ProgID="Equation.DSMT4" ShapeID="_x0000_i1050" DrawAspect="Content" ObjectID="_1468075750" r:id="rId67">
            <o:LockedField>false</o:LockedField>
          </o:OLEObject>
        </w:object>
      </w:r>
      <w:r>
        <w:rPr>
          <w:position w:val="-14"/>
        </w:rPr>
        <w:t>。</w:t>
      </w:r>
      <w:r>
        <w:rPr>
          <w:rFonts w:hint="eastAsia"/>
          <w:position w:val="-14"/>
        </w:rPr>
        <w:t xml:space="preserve">  </w:t>
      </w:r>
    </w:p>
    <w:p w14:paraId="6E6BDB4C">
      <w:pPr>
        <w:ind w:left="0"/>
        <w:rPr>
          <w:bCs/>
          <w:position w:val="-14"/>
        </w:rPr>
      </w:pPr>
      <w:r>
        <w:rPr>
          <w:spacing w:val="20"/>
        </w:rPr>
        <w:t>A.</w:t>
      </w:r>
      <w:r>
        <w:rPr>
          <w:rFonts w:hint="eastAsia"/>
        </w:rPr>
        <w:t>4.1标准砝码的标准不确定度</w:t>
      </w:r>
    </w:p>
    <w:p w14:paraId="3AC8E3C0">
      <w:pPr>
        <w:ind w:left="0" w:firstLine="480" w:firstLineChars="200"/>
        <w:rPr>
          <w:bCs/>
        </w:rPr>
      </w:pPr>
      <w:r>
        <w:rPr>
          <w:rFonts w:hint="eastAsia"/>
        </w:rPr>
        <w:t>标准砝码有检定证书，且在校准过程中仅使用砝码标称值，查JJG 99 表1得F</w:t>
      </w:r>
      <w:r>
        <w:rPr>
          <w:rFonts w:hint="eastAsia"/>
          <w:vertAlign w:val="subscript"/>
        </w:rPr>
        <w:t>2</w:t>
      </w:r>
      <w:r>
        <w:rPr>
          <w:rFonts w:hint="eastAsia"/>
        </w:rPr>
        <w:t>等级25kg的最大允许误差为</w:t>
      </w:r>
      <w:r>
        <w:t>±</w:t>
      </w:r>
      <w:r>
        <w:rPr>
          <w:rFonts w:hint="eastAsia"/>
        </w:rPr>
        <w:t>0.000380kg，则3只25kg砝码的标准不确定度为各个标准砝码的标准不确定度的算术和，如下：</w:t>
      </w:r>
    </w:p>
    <w:p w14:paraId="47D62161">
      <w:pPr>
        <w:ind w:left="0"/>
        <w:rPr>
          <w:bCs/>
        </w:rPr>
      </w:pPr>
      <w:r>
        <w:rPr>
          <w:rFonts w:hint="eastAsia"/>
        </w:rPr>
        <w:t xml:space="preserve">             </w:t>
      </w:r>
      <w:bookmarkStart w:id="166" w:name="OLE_LINK28"/>
      <w:bookmarkStart w:id="167" w:name="OLE_LINK44"/>
      <w:r>
        <w:rPr>
          <w:position w:val="-12"/>
        </w:rPr>
        <w:object>
          <v:shape id="_x0000_i1051" o:spt="75" type="#_x0000_t75" style="height:18pt;width:37pt;" o:ole="t" filled="f" o:preferrelative="t" stroked="f" coordsize="21600,21600">
            <v:path/>
            <v:fill on="f" focussize="0,0"/>
            <v:stroke on="f" joinstyle="miter"/>
            <v:imagedata r:id="rId69" o:title=""/>
            <o:lock v:ext="edit" aspectratio="t"/>
            <w10:wrap type="none"/>
            <w10:anchorlock/>
          </v:shape>
          <o:OLEObject Type="Embed" ProgID="Equation.DSMT4" ShapeID="_x0000_i1051" DrawAspect="Content" ObjectID="_1468075751" r:id="rId68">
            <o:LockedField>false</o:LockedField>
          </o:OLEObject>
        </w:object>
      </w:r>
      <w:bookmarkEnd w:id="166"/>
      <w:bookmarkEnd w:id="167"/>
      <w:r>
        <w:rPr>
          <w:position w:val="-14"/>
        </w:rPr>
        <w:object>
          <v:shape id="_x0000_i1052" o:spt="75" type="#_x0000_t75" style="height:22pt;width:79pt;" o:ole="t" filled="f" o:preferrelative="t" stroked="f" coordsize="21600,21600">
            <v:path/>
            <v:fill on="f" focussize="0,0"/>
            <v:stroke on="f" joinstyle="miter"/>
            <v:imagedata r:id="rId71" o:title=""/>
            <o:lock v:ext="edit" aspectratio="t"/>
            <w10:wrap type="none"/>
            <w10:anchorlock/>
          </v:shape>
          <o:OLEObject Type="Embed" ProgID="Equation.DSMT4" ShapeID="_x0000_i1052" DrawAspect="Content" ObjectID="_1468075752" r:id="rId70">
            <o:LockedField>false</o:LockedField>
          </o:OLEObject>
        </w:object>
      </w:r>
      <w:r>
        <w:rPr>
          <w:position w:val="-10"/>
        </w:rPr>
        <w:object>
          <v:shape id="_x0000_i1053" o:spt="75" type="#_x0000_t75" style="height:19pt;width:151.75pt;" o:ole="t" filled="f" o:preferrelative="t" stroked="f" coordsize="21600,21600">
            <v:path/>
            <v:fill on="f" focussize="0,0"/>
            <v:stroke on="f" joinstyle="miter"/>
            <v:imagedata r:id="rId73" o:title=""/>
            <o:lock v:ext="edit" aspectratio="t"/>
            <w10:wrap type="none"/>
            <w10:anchorlock/>
          </v:shape>
          <o:OLEObject Type="Embed" ProgID="Equation.DSMT4" ShapeID="_x0000_i1053" DrawAspect="Content" ObjectID="_1468075753" r:id="rId72">
            <o:LockedField>false</o:LockedField>
          </o:OLEObject>
        </w:object>
      </w:r>
      <w:r>
        <w:rPr>
          <w:rFonts w:hint="eastAsia"/>
          <w:position w:val="-10"/>
        </w:rPr>
        <w:t xml:space="preserve">          </w:t>
      </w:r>
      <w:r>
        <w:rPr>
          <w:rFonts w:hint="eastAsia"/>
          <w:spacing w:val="20"/>
        </w:rPr>
        <w:t>（</w:t>
      </w:r>
      <w:r>
        <w:rPr>
          <w:spacing w:val="20"/>
        </w:rPr>
        <w:t>A.</w:t>
      </w:r>
      <w:r>
        <w:rPr>
          <w:rFonts w:hint="eastAsia"/>
          <w:spacing w:val="20"/>
        </w:rPr>
        <w:t>10）</w:t>
      </w:r>
    </w:p>
    <w:p w14:paraId="7CCB5DE7">
      <w:pPr>
        <w:ind w:left="0"/>
        <w:rPr>
          <w:bCs/>
        </w:rPr>
      </w:pPr>
      <w:r>
        <w:rPr>
          <w:spacing w:val="20"/>
        </w:rPr>
        <w:t>A.</w:t>
      </w:r>
      <w:r>
        <w:rPr>
          <w:rFonts w:hint="eastAsia"/>
        </w:rPr>
        <w:t>4.2试验载荷的不确定度</w:t>
      </w:r>
    </w:p>
    <w:p w14:paraId="20DE54B1">
      <w:pPr>
        <w:ind w:left="0"/>
        <w:rPr>
          <w:bCs/>
          <w:position w:val="-14"/>
        </w:rPr>
      </w:pPr>
      <w:r>
        <w:rPr>
          <w:rFonts w:hint="eastAsia"/>
          <w:position w:val="-14"/>
        </w:rPr>
        <w:t xml:space="preserve">   </w:t>
      </w:r>
      <w:r>
        <w:rPr>
          <w:position w:val="-14"/>
        </w:rPr>
        <w:object>
          <v:shape id="_x0000_i1054" o:spt="75" type="#_x0000_t75" style="height:20pt;width:258.5pt;" o:ole="t" filled="f" o:preferrelative="t" stroked="f" coordsize="21600,21600">
            <v:path/>
            <v:fill on="f" focussize="0,0"/>
            <v:stroke on="f" joinstyle="miter"/>
            <v:imagedata r:id="rId75" o:title=""/>
            <o:lock v:ext="edit" aspectratio="t"/>
            <w10:wrap type="none"/>
            <w10:anchorlock/>
          </v:shape>
          <o:OLEObject Type="Embed" ProgID="Equation.DSMT4" ShapeID="_x0000_i1054" DrawAspect="Content" ObjectID="_1468075754" r:id="rId74">
            <o:LockedField>false</o:LockedField>
          </o:OLEObject>
        </w:object>
      </w:r>
      <w:r>
        <w:rPr>
          <w:rFonts w:hint="eastAsia"/>
          <w:position w:val="-14"/>
        </w:rPr>
        <w:t xml:space="preserve">                       </w:t>
      </w:r>
    </w:p>
    <w:p w14:paraId="0C63C1D3">
      <w:pPr>
        <w:ind w:left="0"/>
        <w:rPr>
          <w:bCs/>
        </w:rPr>
      </w:pPr>
      <w:r>
        <w:rPr>
          <w:rFonts w:hint="eastAsia"/>
          <w:position w:val="-14"/>
        </w:rPr>
        <w:t xml:space="preserve">   </w:t>
      </w:r>
      <w:r>
        <w:rPr>
          <w:position w:val="-14"/>
        </w:rPr>
        <w:object>
          <v:shape id="_x0000_i1055" o:spt="75" type="#_x0000_t75" style="height:19.6pt;width:85.2pt;" o:ole="t" filled="f" o:preferrelative="t" stroked="f" coordsize="21600,21600">
            <v:path/>
            <v:fill on="f" focussize="0,0"/>
            <v:stroke on="f" joinstyle="miter"/>
            <v:imagedata r:id="rId77" o:title=""/>
            <o:lock v:ext="edit" aspectratio="t"/>
            <w10:wrap type="none"/>
            <w10:anchorlock/>
          </v:shape>
          <o:OLEObject Type="Embed" ProgID="Equation.DSMT4" ShapeID="_x0000_i1055" DrawAspect="Content" ObjectID="_1468075755" r:id="rId76">
            <o:LockedField>false</o:LockedField>
          </o:OLEObject>
        </w:object>
      </w:r>
      <w:r>
        <w:rPr>
          <w:rFonts w:hint="eastAsia"/>
          <w:position w:val="-14"/>
        </w:rPr>
        <w:t xml:space="preserve">    </w:t>
      </w:r>
    </w:p>
    <w:p w14:paraId="6A0F85FB">
      <w:pPr>
        <w:spacing w:before="156" w:after="156"/>
        <w:ind w:left="480" w:hanging="480"/>
        <w:rPr>
          <w:lang w:val="en-GB"/>
        </w:rPr>
      </w:pPr>
      <w:r>
        <w:rPr>
          <w:spacing w:val="20"/>
        </w:rPr>
        <w:t>A.</w:t>
      </w:r>
      <w:r>
        <w:rPr>
          <w:rFonts w:hint="eastAsia"/>
          <w:lang w:val="en-GB"/>
        </w:rPr>
        <w:t xml:space="preserve">5 合成标准不确定度的评定 </w:t>
      </w:r>
    </w:p>
    <w:p w14:paraId="7093CF37">
      <w:pPr>
        <w:ind w:left="0"/>
        <w:rPr>
          <w:bCs/>
        </w:rPr>
      </w:pPr>
      <w:r>
        <w:rPr>
          <w:spacing w:val="20"/>
        </w:rPr>
        <w:t>A.</w:t>
      </w:r>
      <w:r>
        <w:rPr>
          <w:rFonts w:hint="eastAsia"/>
        </w:rPr>
        <w:t>5.1 示值误差的合成标准不确定度</w:t>
      </w:r>
      <w:r>
        <w:rPr>
          <w:position w:val="-12"/>
        </w:rPr>
        <w:object>
          <v:shape id="_x0000_i1056" o:spt="75" type="#_x0000_t75" style="height:18pt;width:30.5pt;" o:ole="t" filled="f" o:preferrelative="t" stroked="f" coordsize="21600,21600">
            <v:path/>
            <v:fill on="f" focussize="0,0"/>
            <v:stroke on="f" joinstyle="miter"/>
            <v:imagedata r:id="rId79" o:title=""/>
            <o:lock v:ext="edit" aspectratio="t"/>
            <w10:wrap type="none"/>
            <w10:anchorlock/>
          </v:shape>
          <o:OLEObject Type="Embed" ProgID="Equation.DSMT4" ShapeID="_x0000_i1056" DrawAspect="Content" ObjectID="_1468075756" r:id="rId78">
            <o:LockedField>false</o:LockedField>
          </o:OLEObject>
        </w:object>
      </w:r>
    </w:p>
    <w:p w14:paraId="7181536F">
      <w:pPr>
        <w:ind w:left="0" w:firstLine="480" w:firstLineChars="200"/>
        <w:rPr>
          <w:bCs/>
        </w:rPr>
      </w:pPr>
      <w:r>
        <w:rPr>
          <w:position w:val="-16"/>
        </w:rPr>
        <w:object>
          <v:shape id="_x0000_i1057" o:spt="75" type="#_x0000_t75" style="height:24pt;width:122.7pt;" o:ole="t" filled="f" o:preferrelative="t" stroked="f" coordsize="21600,21600">
            <v:path/>
            <v:fill on="f" focussize="0,0"/>
            <v:stroke on="f" joinstyle="miter"/>
            <v:imagedata r:id="rId81" o:title=""/>
            <o:lock v:ext="edit" aspectratio="t"/>
            <w10:wrap type="none"/>
            <w10:anchorlock/>
          </v:shape>
          <o:OLEObject Type="Embed" ProgID="Equation.DSMT4" ShapeID="_x0000_i1057" DrawAspect="Content" ObjectID="_1468075757" r:id="rId80">
            <o:LockedField>false</o:LockedField>
          </o:OLEObject>
        </w:object>
      </w:r>
      <w:r>
        <w:rPr>
          <w:rFonts w:hint="eastAsia"/>
          <w:position w:val="-16"/>
        </w:rPr>
        <w:t xml:space="preserve">                                              </w:t>
      </w:r>
    </w:p>
    <w:p w14:paraId="096ABD3E">
      <w:pPr>
        <w:ind w:left="0" w:firstLine="960" w:firstLineChars="400"/>
        <w:rPr>
          <w:bCs/>
        </w:rPr>
      </w:pPr>
      <w:r>
        <w:rPr>
          <w:position w:val="-12"/>
        </w:rPr>
        <w:object>
          <v:shape id="_x0000_i1058" o:spt="75" type="#_x0000_t75" style="height:22pt;width:122pt;" o:ole="t" filled="f" o:preferrelative="t" stroked="f" coordsize="21600,21600">
            <v:path/>
            <v:fill on="f" focussize="0,0"/>
            <v:stroke on="f" joinstyle="miter"/>
            <v:imagedata r:id="rId83" o:title=""/>
            <o:lock v:ext="edit" aspectratio="t"/>
            <w10:wrap type="none"/>
            <w10:anchorlock/>
          </v:shape>
          <o:OLEObject Type="Embed" ProgID="Equation.DSMT4" ShapeID="_x0000_i1058" DrawAspect="Content" ObjectID="_1468075758" r:id="rId82">
            <o:LockedField>false</o:LockedField>
          </o:OLEObject>
        </w:object>
      </w:r>
    </w:p>
    <w:p w14:paraId="5EEAA6FF">
      <w:pPr>
        <w:ind w:left="0" w:firstLine="960" w:firstLineChars="400"/>
        <w:rPr>
          <w:bCs/>
        </w:rPr>
      </w:pPr>
      <w:r>
        <w:rPr>
          <w:position w:val="-10"/>
        </w:rPr>
        <w:object>
          <v:shape id="_x0000_i1059" o:spt="75" type="#_x0000_t75" style="height:15.5pt;width:52pt;" o:ole="t" filled="f" o:preferrelative="t" stroked="f" coordsize="21600,21600">
            <v:path/>
            <v:fill on="f" focussize="0,0"/>
            <v:stroke on="f" joinstyle="miter"/>
            <v:imagedata r:id="rId85" o:title=""/>
            <o:lock v:ext="edit" aspectratio="t"/>
            <w10:wrap type="none"/>
            <w10:anchorlock/>
          </v:shape>
          <o:OLEObject Type="Embed" ProgID="Equation.DSMT4" ShapeID="_x0000_i1059" DrawAspect="Content" ObjectID="_1468075759" r:id="rId84">
            <o:LockedField>false</o:LockedField>
          </o:OLEObject>
        </w:object>
      </w:r>
    </w:p>
    <w:p w14:paraId="6B157CAB">
      <w:pPr>
        <w:ind w:left="0"/>
        <w:rPr>
          <w:bCs/>
        </w:rPr>
      </w:pPr>
      <w:r>
        <w:rPr>
          <w:spacing w:val="20"/>
        </w:rPr>
        <w:t>A.</w:t>
      </w:r>
      <w:r>
        <w:rPr>
          <w:rFonts w:hint="eastAsia"/>
        </w:rPr>
        <w:t>5.2 扩展不确定度</w:t>
      </w:r>
    </w:p>
    <w:p w14:paraId="325CABE0">
      <w:pPr>
        <w:ind w:left="0"/>
        <w:rPr>
          <w:bCs/>
        </w:rPr>
      </w:pPr>
      <w:r>
        <w:rPr>
          <w:rFonts w:hint="eastAsia"/>
        </w:rPr>
        <w:t xml:space="preserve">    取</w:t>
      </w:r>
      <w:r>
        <w:t>包含因子</w:t>
      </w:r>
      <w:r>
        <w:rPr>
          <w:rFonts w:hint="eastAsia"/>
          <w:i/>
        </w:rPr>
        <w:t>k</w:t>
      </w:r>
      <w:r>
        <w:rPr>
          <w:rFonts w:hint="eastAsia"/>
        </w:rPr>
        <w:t>=2, 扩展不确定度为</w:t>
      </w:r>
      <w:r>
        <w:rPr>
          <w:rFonts w:hint="eastAsia" w:ascii="宋体" w:hAnsi="宋体" w:cs="宋体"/>
        </w:rPr>
        <w:t>：</w:t>
      </w:r>
    </w:p>
    <w:p w14:paraId="283A7EAD">
      <w:pPr>
        <w:ind w:left="0" w:firstLine="480"/>
        <w:rPr>
          <w:bCs/>
        </w:rPr>
      </w:pPr>
      <w:r>
        <w:rPr>
          <w:rFonts w:hint="eastAsia"/>
        </w:rPr>
        <w:t xml:space="preserve"> </w:t>
      </w:r>
      <w:r>
        <w:rPr>
          <w:position w:val="-12"/>
        </w:rPr>
        <w:object>
          <v:shape id="_x0000_i1060" o:spt="75" type="#_x0000_t75" style="height:18pt;width:70.5pt;" o:ole="t" filled="f" o:preferrelative="t" stroked="f" coordsize="21600,21600">
            <v:path/>
            <v:fill on="f" focussize="0,0"/>
            <v:stroke on="f" joinstyle="miter"/>
            <v:imagedata r:id="rId87" o:title=""/>
            <o:lock v:ext="edit" aspectratio="t"/>
            <w10:wrap type="none"/>
            <w10:anchorlock/>
          </v:shape>
          <o:OLEObject Type="Embed" ProgID="Equation.DSMT4" ShapeID="_x0000_i1060" DrawAspect="Content" ObjectID="_1468075760" r:id="rId86">
            <o:LockedField>false</o:LockedField>
          </o:OLEObject>
        </w:object>
      </w:r>
      <w:r>
        <w:rPr>
          <w:rFonts w:hint="eastAsia"/>
        </w:rPr>
        <w:t>=0.65kg</w:t>
      </w:r>
    </w:p>
    <w:p w14:paraId="671A8591">
      <w:pPr>
        <w:spacing w:before="120" w:after="120"/>
        <w:ind w:left="480" w:hanging="480"/>
      </w:pPr>
      <w:bookmarkStart w:id="168" w:name="OLE_LINK66"/>
      <w:bookmarkStart w:id="169" w:name="OLE_LINK67"/>
      <w:r>
        <w:rPr>
          <w:rFonts w:hint="eastAsia"/>
          <w:lang w:val="en-GB"/>
        </w:rPr>
        <w:t xml:space="preserve">A.6 </w:t>
      </w:r>
      <w:bookmarkEnd w:id="168"/>
      <w:bookmarkEnd w:id="169"/>
      <w:r>
        <w:rPr>
          <w:rFonts w:hint="eastAsia"/>
          <w:lang w:val="en-GB"/>
        </w:rPr>
        <w:t>计算得出该称重物料罐的测量不确定度</w:t>
      </w:r>
      <w:r>
        <w:rPr>
          <w:rFonts w:hint="eastAsia"/>
        </w:rPr>
        <w:t>见表A.1。</w:t>
      </w:r>
    </w:p>
    <w:p w14:paraId="7F82F9E4">
      <w:pPr>
        <w:spacing w:before="120" w:after="120"/>
        <w:ind w:left="480" w:hanging="480"/>
        <w:jc w:val="center"/>
      </w:pPr>
      <w:r>
        <w:rPr>
          <w:rFonts w:hint="eastAsia"/>
          <w:bCs/>
        </w:rPr>
        <w:t xml:space="preserve">表A.1 </w:t>
      </w:r>
      <w:r>
        <w:rPr>
          <w:rFonts w:hint="eastAsia"/>
          <w:lang w:val="en-GB"/>
        </w:rPr>
        <w:t>称重物料罐的测量</w:t>
      </w:r>
      <w:r>
        <w:rPr>
          <w:rFonts w:hint="eastAsia"/>
          <w:bCs/>
        </w:rPr>
        <w:t>不确定度表</w:t>
      </w:r>
    </w:p>
    <w:tbl>
      <w:tblPr>
        <w:tblStyle w:val="21"/>
        <w:tblW w:w="5000" w:type="pct"/>
        <w:jc w:val="center"/>
        <w:tblLayout w:type="autofit"/>
        <w:tblCellMar>
          <w:top w:w="0" w:type="dxa"/>
          <w:left w:w="108" w:type="dxa"/>
          <w:bottom w:w="0" w:type="dxa"/>
          <w:right w:w="108" w:type="dxa"/>
        </w:tblCellMar>
      </w:tblPr>
      <w:tblGrid>
        <w:gridCol w:w="1253"/>
        <w:gridCol w:w="1885"/>
        <w:gridCol w:w="2236"/>
        <w:gridCol w:w="1941"/>
        <w:gridCol w:w="2323"/>
      </w:tblGrid>
      <w:tr w14:paraId="3AFB6AC2">
        <w:tblPrEx>
          <w:tblCellMar>
            <w:top w:w="0" w:type="dxa"/>
            <w:left w:w="108" w:type="dxa"/>
            <w:bottom w:w="0" w:type="dxa"/>
            <w:right w:w="108" w:type="dxa"/>
          </w:tblCellMar>
        </w:tblPrEx>
        <w:trPr>
          <w:trHeight w:val="290" w:hRule="atLeast"/>
          <w:jc w:val="center"/>
        </w:trPr>
        <w:tc>
          <w:tcPr>
            <w:tcW w:w="650" w:type="pct"/>
            <w:vMerge w:val="restart"/>
            <w:tcBorders>
              <w:top w:val="single" w:color="auto" w:sz="4" w:space="0"/>
              <w:left w:val="single" w:color="auto" w:sz="4" w:space="0"/>
              <w:right w:val="single" w:color="auto" w:sz="4" w:space="0"/>
            </w:tcBorders>
            <w:vAlign w:val="center"/>
          </w:tcPr>
          <w:p w14:paraId="5EB9A772">
            <w:pPr>
              <w:ind w:left="0"/>
              <w:jc w:val="center"/>
              <w:rPr>
                <w:rFonts w:cs="宋体"/>
                <w:color w:val="000000"/>
                <w:kern w:val="0"/>
                <w:sz w:val="21"/>
                <w:szCs w:val="21"/>
              </w:rPr>
            </w:pPr>
            <w:r>
              <w:rPr>
                <w:rFonts w:hint="eastAsia" w:cs="宋体"/>
                <w:color w:val="000000"/>
                <w:kern w:val="0"/>
                <w:sz w:val="21"/>
                <w:szCs w:val="21"/>
              </w:rPr>
              <w:t>测量点</w:t>
            </w:r>
          </w:p>
        </w:tc>
        <w:tc>
          <w:tcPr>
            <w:tcW w:w="978" w:type="pct"/>
            <w:tcBorders>
              <w:top w:val="single" w:color="auto" w:sz="4" w:space="0"/>
              <w:left w:val="nil"/>
              <w:bottom w:val="nil"/>
              <w:right w:val="single" w:color="auto" w:sz="4" w:space="0"/>
            </w:tcBorders>
            <w:vAlign w:val="center"/>
          </w:tcPr>
          <w:p w14:paraId="1359B7EE">
            <w:pPr>
              <w:ind w:left="0"/>
              <w:jc w:val="center"/>
              <w:rPr>
                <w:rFonts w:cs="宋体"/>
                <w:color w:val="000000"/>
                <w:kern w:val="0"/>
                <w:sz w:val="21"/>
                <w:szCs w:val="21"/>
              </w:rPr>
            </w:pPr>
            <w:r>
              <w:rPr>
                <w:rFonts w:hint="eastAsia"/>
                <w:sz w:val="21"/>
                <w:szCs w:val="21"/>
              </w:rPr>
              <w:t>载荷</w:t>
            </w:r>
            <w:r>
              <w:rPr>
                <w:i/>
                <w:sz w:val="21"/>
                <w:szCs w:val="21"/>
              </w:rPr>
              <w:t>L</w:t>
            </w:r>
          </w:p>
        </w:tc>
        <w:tc>
          <w:tcPr>
            <w:tcW w:w="1160" w:type="pct"/>
            <w:tcBorders>
              <w:top w:val="single" w:color="auto" w:sz="4" w:space="0"/>
              <w:left w:val="nil"/>
              <w:bottom w:val="nil"/>
              <w:right w:val="single" w:color="auto" w:sz="4" w:space="0"/>
            </w:tcBorders>
            <w:vAlign w:val="center"/>
          </w:tcPr>
          <w:p w14:paraId="73F1CE12">
            <w:pPr>
              <w:ind w:left="0"/>
              <w:jc w:val="center"/>
              <w:rPr>
                <w:rFonts w:cs="宋体"/>
                <w:color w:val="000000"/>
                <w:kern w:val="0"/>
                <w:sz w:val="21"/>
                <w:szCs w:val="21"/>
              </w:rPr>
            </w:pPr>
            <w:r>
              <w:rPr>
                <w:rFonts w:hint="eastAsia"/>
                <w:sz w:val="21"/>
                <w:szCs w:val="21"/>
              </w:rPr>
              <w:t>示值</w:t>
            </w:r>
            <w:r>
              <w:rPr>
                <w:i/>
                <w:sz w:val="21"/>
                <w:szCs w:val="21"/>
              </w:rPr>
              <w:t>I</w:t>
            </w:r>
          </w:p>
        </w:tc>
        <w:tc>
          <w:tcPr>
            <w:tcW w:w="1007" w:type="pct"/>
            <w:tcBorders>
              <w:top w:val="single" w:color="auto" w:sz="4" w:space="0"/>
              <w:left w:val="nil"/>
              <w:bottom w:val="nil"/>
              <w:right w:val="single" w:color="auto" w:sz="4" w:space="0"/>
            </w:tcBorders>
            <w:vAlign w:val="center"/>
          </w:tcPr>
          <w:p w14:paraId="1E7B739D">
            <w:pPr>
              <w:ind w:left="0"/>
              <w:jc w:val="center"/>
              <w:rPr>
                <w:rFonts w:cs="宋体"/>
                <w:color w:val="000000"/>
                <w:kern w:val="0"/>
                <w:sz w:val="21"/>
                <w:szCs w:val="21"/>
              </w:rPr>
            </w:pPr>
            <w:r>
              <w:rPr>
                <w:rFonts w:hint="eastAsia" w:cs="宋体"/>
                <w:color w:val="000000"/>
                <w:kern w:val="0"/>
                <w:sz w:val="21"/>
                <w:szCs w:val="21"/>
              </w:rPr>
              <w:t>示值误差</w:t>
            </w:r>
            <w:r>
              <w:rPr>
                <w:rFonts w:hint="eastAsia" w:cs="宋体"/>
                <w:i/>
                <w:color w:val="000000"/>
                <w:kern w:val="0"/>
                <w:sz w:val="21"/>
                <w:szCs w:val="21"/>
              </w:rPr>
              <w:t>E</w:t>
            </w:r>
          </w:p>
        </w:tc>
        <w:tc>
          <w:tcPr>
            <w:tcW w:w="1205" w:type="pct"/>
            <w:tcBorders>
              <w:top w:val="single" w:color="auto" w:sz="4" w:space="0"/>
              <w:left w:val="nil"/>
              <w:bottom w:val="nil"/>
              <w:right w:val="single" w:color="auto" w:sz="4" w:space="0"/>
            </w:tcBorders>
            <w:vAlign w:val="center"/>
          </w:tcPr>
          <w:p w14:paraId="010F173F">
            <w:pPr>
              <w:ind w:left="0"/>
              <w:jc w:val="center"/>
              <w:rPr>
                <w:rFonts w:cs="宋体"/>
                <w:color w:val="000000"/>
                <w:kern w:val="0"/>
                <w:sz w:val="21"/>
                <w:szCs w:val="21"/>
              </w:rPr>
            </w:pPr>
            <w:r>
              <w:rPr>
                <w:rFonts w:hint="eastAsia"/>
                <w:sz w:val="21"/>
                <w:szCs w:val="21"/>
              </w:rPr>
              <w:t>扩展不确定度</w:t>
            </w:r>
            <w:r>
              <w:rPr>
                <w:i/>
                <w:sz w:val="21"/>
                <w:szCs w:val="21"/>
              </w:rPr>
              <w:t>U</w:t>
            </w:r>
            <w:r>
              <w:rPr>
                <w:rFonts w:hint="eastAsia"/>
                <w:sz w:val="21"/>
                <w:szCs w:val="21"/>
              </w:rPr>
              <w:t>（</w:t>
            </w:r>
            <w:r>
              <w:rPr>
                <w:i/>
                <w:sz w:val="21"/>
                <w:szCs w:val="21"/>
              </w:rPr>
              <w:t>k</w:t>
            </w:r>
            <w:r>
              <w:rPr>
                <w:sz w:val="21"/>
                <w:szCs w:val="21"/>
              </w:rPr>
              <w:t>=2</w:t>
            </w:r>
            <w:r>
              <w:rPr>
                <w:rFonts w:hint="eastAsia"/>
                <w:sz w:val="21"/>
                <w:szCs w:val="21"/>
              </w:rPr>
              <w:t>）</w:t>
            </w:r>
          </w:p>
        </w:tc>
      </w:tr>
      <w:tr w14:paraId="4C05554F">
        <w:tblPrEx>
          <w:tblCellMar>
            <w:top w:w="0" w:type="dxa"/>
            <w:left w:w="108" w:type="dxa"/>
            <w:bottom w:w="0" w:type="dxa"/>
            <w:right w:w="108" w:type="dxa"/>
          </w:tblCellMar>
        </w:tblPrEx>
        <w:trPr>
          <w:trHeight w:val="290" w:hRule="atLeast"/>
          <w:jc w:val="center"/>
        </w:trPr>
        <w:tc>
          <w:tcPr>
            <w:tcW w:w="650" w:type="pct"/>
            <w:vMerge w:val="continue"/>
            <w:tcBorders>
              <w:left w:val="single" w:color="auto" w:sz="4" w:space="0"/>
              <w:bottom w:val="single" w:color="auto" w:sz="4" w:space="0"/>
              <w:right w:val="single" w:color="auto" w:sz="4" w:space="0"/>
            </w:tcBorders>
            <w:vAlign w:val="center"/>
          </w:tcPr>
          <w:p w14:paraId="5A3B6806">
            <w:pPr>
              <w:ind w:left="0"/>
              <w:jc w:val="center"/>
              <w:rPr>
                <w:rFonts w:cs="宋体"/>
                <w:color w:val="000000"/>
                <w:kern w:val="0"/>
                <w:sz w:val="21"/>
                <w:szCs w:val="21"/>
              </w:rPr>
            </w:pPr>
          </w:p>
        </w:tc>
        <w:tc>
          <w:tcPr>
            <w:tcW w:w="978" w:type="pct"/>
            <w:tcBorders>
              <w:top w:val="nil"/>
              <w:left w:val="nil"/>
              <w:bottom w:val="single" w:color="auto" w:sz="4" w:space="0"/>
              <w:right w:val="single" w:color="auto" w:sz="4" w:space="0"/>
            </w:tcBorders>
            <w:vAlign w:val="center"/>
          </w:tcPr>
          <w:p w14:paraId="3412816D">
            <w:pPr>
              <w:ind w:left="0"/>
              <w:jc w:val="center"/>
              <w:rPr>
                <w:rFonts w:cs="宋体"/>
                <w:color w:val="000000"/>
                <w:kern w:val="0"/>
                <w:sz w:val="21"/>
                <w:szCs w:val="21"/>
              </w:rPr>
            </w:pPr>
            <w:r>
              <w:rPr>
                <w:rFonts w:hint="eastAsia" w:cs="宋体"/>
                <w:color w:val="000000"/>
                <w:kern w:val="0"/>
                <w:sz w:val="21"/>
                <w:szCs w:val="21"/>
              </w:rPr>
              <w:t>（  kg  ）</w:t>
            </w:r>
          </w:p>
        </w:tc>
        <w:tc>
          <w:tcPr>
            <w:tcW w:w="1160" w:type="pct"/>
            <w:tcBorders>
              <w:top w:val="nil"/>
              <w:left w:val="nil"/>
              <w:bottom w:val="single" w:color="auto" w:sz="4" w:space="0"/>
              <w:right w:val="single" w:color="auto" w:sz="4" w:space="0"/>
            </w:tcBorders>
            <w:vAlign w:val="center"/>
          </w:tcPr>
          <w:p w14:paraId="44FC04DE">
            <w:pPr>
              <w:ind w:left="0"/>
              <w:jc w:val="center"/>
              <w:rPr>
                <w:rFonts w:cs="宋体"/>
                <w:color w:val="000000"/>
                <w:kern w:val="0"/>
                <w:sz w:val="21"/>
                <w:szCs w:val="21"/>
              </w:rPr>
            </w:pPr>
            <w:r>
              <w:rPr>
                <w:rFonts w:hint="eastAsia" w:cs="宋体"/>
                <w:color w:val="000000"/>
                <w:kern w:val="0"/>
                <w:sz w:val="21"/>
                <w:szCs w:val="21"/>
              </w:rPr>
              <w:t>（  kg  ）</w:t>
            </w:r>
          </w:p>
        </w:tc>
        <w:tc>
          <w:tcPr>
            <w:tcW w:w="1007" w:type="pct"/>
            <w:tcBorders>
              <w:top w:val="nil"/>
              <w:left w:val="nil"/>
              <w:bottom w:val="single" w:color="auto" w:sz="4" w:space="0"/>
              <w:right w:val="single" w:color="auto" w:sz="4" w:space="0"/>
            </w:tcBorders>
            <w:vAlign w:val="center"/>
          </w:tcPr>
          <w:p w14:paraId="1353A36D">
            <w:pPr>
              <w:ind w:left="0"/>
              <w:jc w:val="center"/>
              <w:rPr>
                <w:rFonts w:cs="宋体"/>
                <w:color w:val="000000"/>
                <w:kern w:val="0"/>
                <w:sz w:val="21"/>
                <w:szCs w:val="21"/>
              </w:rPr>
            </w:pPr>
            <w:r>
              <w:rPr>
                <w:rFonts w:hint="eastAsia" w:cs="宋体"/>
                <w:color w:val="000000"/>
                <w:kern w:val="0"/>
                <w:sz w:val="21"/>
                <w:szCs w:val="21"/>
              </w:rPr>
              <w:t>（  kg  ）</w:t>
            </w:r>
          </w:p>
        </w:tc>
        <w:tc>
          <w:tcPr>
            <w:tcW w:w="1205" w:type="pct"/>
            <w:tcBorders>
              <w:top w:val="nil"/>
              <w:left w:val="nil"/>
              <w:bottom w:val="single" w:color="auto" w:sz="4" w:space="0"/>
              <w:right w:val="single" w:color="auto" w:sz="4" w:space="0"/>
            </w:tcBorders>
            <w:vAlign w:val="center"/>
          </w:tcPr>
          <w:p w14:paraId="0AB139DC">
            <w:pPr>
              <w:ind w:left="0"/>
              <w:jc w:val="center"/>
              <w:rPr>
                <w:rFonts w:cs="宋体"/>
                <w:color w:val="000000"/>
                <w:kern w:val="0"/>
                <w:sz w:val="21"/>
                <w:szCs w:val="21"/>
              </w:rPr>
            </w:pPr>
            <w:r>
              <w:rPr>
                <w:rFonts w:hint="eastAsia" w:cs="宋体"/>
                <w:color w:val="000000"/>
                <w:kern w:val="0"/>
                <w:sz w:val="21"/>
                <w:szCs w:val="21"/>
              </w:rPr>
              <w:t>（  kg  ）</w:t>
            </w:r>
          </w:p>
        </w:tc>
      </w:tr>
      <w:tr w14:paraId="2BAB3B59">
        <w:tblPrEx>
          <w:tblCellMar>
            <w:top w:w="0" w:type="dxa"/>
            <w:left w:w="108" w:type="dxa"/>
            <w:bottom w:w="0" w:type="dxa"/>
            <w:right w:w="108" w:type="dxa"/>
          </w:tblCellMar>
        </w:tblPrEx>
        <w:trPr>
          <w:trHeight w:val="340" w:hRule="atLeast"/>
          <w:jc w:val="center"/>
        </w:trPr>
        <w:tc>
          <w:tcPr>
            <w:tcW w:w="650" w:type="pct"/>
            <w:tcBorders>
              <w:top w:val="nil"/>
              <w:left w:val="single" w:color="auto" w:sz="4" w:space="0"/>
              <w:bottom w:val="single" w:color="auto" w:sz="4" w:space="0"/>
              <w:right w:val="single" w:color="auto" w:sz="4" w:space="0"/>
            </w:tcBorders>
            <w:vAlign w:val="center"/>
          </w:tcPr>
          <w:p w14:paraId="03A68DDF">
            <w:pPr>
              <w:ind w:left="0"/>
              <w:jc w:val="center"/>
              <w:rPr>
                <w:rFonts w:cs="宋体"/>
                <w:color w:val="000000"/>
                <w:kern w:val="0"/>
                <w:sz w:val="21"/>
                <w:szCs w:val="21"/>
              </w:rPr>
            </w:pPr>
            <w:r>
              <w:rPr>
                <w:rFonts w:hint="eastAsia" w:cs="宋体"/>
                <w:color w:val="000000"/>
                <w:kern w:val="0"/>
                <w:sz w:val="21"/>
                <w:szCs w:val="21"/>
              </w:rPr>
              <w:t>1</w:t>
            </w:r>
          </w:p>
        </w:tc>
        <w:tc>
          <w:tcPr>
            <w:tcW w:w="978" w:type="pct"/>
            <w:tcBorders>
              <w:top w:val="single" w:color="auto" w:sz="4" w:space="0"/>
              <w:left w:val="nil"/>
              <w:bottom w:val="single" w:color="auto" w:sz="4" w:space="0"/>
              <w:right w:val="single" w:color="auto" w:sz="4" w:space="0"/>
            </w:tcBorders>
            <w:vAlign w:val="center"/>
          </w:tcPr>
          <w:p w14:paraId="279D5325">
            <w:pPr>
              <w:ind w:left="0"/>
              <w:jc w:val="center"/>
              <w:rPr>
                <w:rFonts w:cs="宋体"/>
                <w:color w:val="000000"/>
                <w:sz w:val="22"/>
                <w:szCs w:val="22"/>
              </w:rPr>
            </w:pPr>
            <w:r>
              <w:rPr>
                <w:rFonts w:hint="eastAsia"/>
                <w:color w:val="000000"/>
                <w:sz w:val="22"/>
                <w:szCs w:val="22"/>
              </w:rPr>
              <w:t>13.5</w:t>
            </w:r>
          </w:p>
        </w:tc>
        <w:tc>
          <w:tcPr>
            <w:tcW w:w="1160" w:type="pct"/>
            <w:tcBorders>
              <w:top w:val="single" w:color="auto" w:sz="4" w:space="0"/>
              <w:left w:val="nil"/>
              <w:bottom w:val="single" w:color="auto" w:sz="4" w:space="0"/>
              <w:right w:val="single" w:color="auto" w:sz="4" w:space="0"/>
            </w:tcBorders>
            <w:vAlign w:val="center"/>
          </w:tcPr>
          <w:p w14:paraId="598B6F95">
            <w:pPr>
              <w:ind w:left="0"/>
              <w:jc w:val="center"/>
              <w:rPr>
                <w:rFonts w:cs="宋体"/>
                <w:color w:val="000000"/>
                <w:sz w:val="22"/>
                <w:szCs w:val="22"/>
              </w:rPr>
            </w:pPr>
            <w:r>
              <w:rPr>
                <w:rFonts w:hint="eastAsia"/>
                <w:color w:val="000000"/>
                <w:sz w:val="22"/>
                <w:szCs w:val="22"/>
              </w:rPr>
              <w:t>13.50</w:t>
            </w:r>
          </w:p>
        </w:tc>
        <w:tc>
          <w:tcPr>
            <w:tcW w:w="1007" w:type="pct"/>
            <w:tcBorders>
              <w:top w:val="single" w:color="auto" w:sz="4" w:space="0"/>
              <w:left w:val="nil"/>
              <w:bottom w:val="single" w:color="auto" w:sz="4" w:space="0"/>
              <w:right w:val="single" w:color="auto" w:sz="4" w:space="0"/>
            </w:tcBorders>
            <w:vAlign w:val="center"/>
          </w:tcPr>
          <w:p w14:paraId="5544895C">
            <w:pPr>
              <w:ind w:left="0"/>
              <w:jc w:val="center"/>
              <w:rPr>
                <w:rFonts w:cs="宋体"/>
                <w:color w:val="000000"/>
                <w:sz w:val="22"/>
                <w:szCs w:val="22"/>
              </w:rPr>
            </w:pPr>
            <w:r>
              <w:rPr>
                <w:rFonts w:hint="eastAsia"/>
                <w:color w:val="000000"/>
                <w:sz w:val="22"/>
                <w:szCs w:val="22"/>
              </w:rPr>
              <w:t>0.00</w:t>
            </w:r>
          </w:p>
        </w:tc>
        <w:tc>
          <w:tcPr>
            <w:tcW w:w="1205" w:type="pct"/>
            <w:tcBorders>
              <w:top w:val="single" w:color="auto" w:sz="4" w:space="0"/>
              <w:left w:val="nil"/>
              <w:bottom w:val="single" w:color="auto" w:sz="4" w:space="0"/>
              <w:right w:val="single" w:color="auto" w:sz="4" w:space="0"/>
            </w:tcBorders>
            <w:vAlign w:val="center"/>
          </w:tcPr>
          <w:p w14:paraId="41566D48">
            <w:pPr>
              <w:ind w:left="0"/>
              <w:jc w:val="center"/>
              <w:rPr>
                <w:rFonts w:cs="宋体"/>
                <w:color w:val="000000"/>
                <w:sz w:val="22"/>
                <w:szCs w:val="22"/>
              </w:rPr>
            </w:pPr>
            <w:r>
              <w:rPr>
                <w:rFonts w:hint="eastAsia"/>
                <w:color w:val="000000"/>
                <w:sz w:val="22"/>
                <w:szCs w:val="22"/>
              </w:rPr>
              <w:t>0.07</w:t>
            </w:r>
          </w:p>
        </w:tc>
      </w:tr>
      <w:tr w14:paraId="61CDA9C0">
        <w:tblPrEx>
          <w:tblCellMar>
            <w:top w:w="0" w:type="dxa"/>
            <w:left w:w="108" w:type="dxa"/>
            <w:bottom w:w="0" w:type="dxa"/>
            <w:right w:w="108" w:type="dxa"/>
          </w:tblCellMar>
        </w:tblPrEx>
        <w:trPr>
          <w:trHeight w:val="290" w:hRule="atLeast"/>
          <w:jc w:val="center"/>
        </w:trPr>
        <w:tc>
          <w:tcPr>
            <w:tcW w:w="650" w:type="pct"/>
            <w:tcBorders>
              <w:top w:val="nil"/>
              <w:left w:val="single" w:color="auto" w:sz="4" w:space="0"/>
              <w:bottom w:val="single" w:color="auto" w:sz="4" w:space="0"/>
              <w:right w:val="single" w:color="auto" w:sz="4" w:space="0"/>
            </w:tcBorders>
            <w:vAlign w:val="center"/>
          </w:tcPr>
          <w:p w14:paraId="63109727">
            <w:pPr>
              <w:ind w:left="0"/>
              <w:jc w:val="center"/>
              <w:rPr>
                <w:rFonts w:cs="宋体"/>
                <w:color w:val="000000"/>
                <w:kern w:val="0"/>
                <w:sz w:val="21"/>
                <w:szCs w:val="21"/>
              </w:rPr>
            </w:pPr>
            <w:r>
              <w:rPr>
                <w:rFonts w:hint="eastAsia" w:cs="宋体"/>
                <w:color w:val="000000"/>
                <w:kern w:val="0"/>
                <w:sz w:val="21"/>
                <w:szCs w:val="21"/>
              </w:rPr>
              <w:t>2</w:t>
            </w:r>
          </w:p>
        </w:tc>
        <w:tc>
          <w:tcPr>
            <w:tcW w:w="978" w:type="pct"/>
            <w:tcBorders>
              <w:top w:val="single" w:color="auto" w:sz="4" w:space="0"/>
              <w:left w:val="nil"/>
              <w:bottom w:val="single" w:color="auto" w:sz="4" w:space="0"/>
              <w:right w:val="single" w:color="auto" w:sz="4" w:space="0"/>
            </w:tcBorders>
            <w:vAlign w:val="center"/>
          </w:tcPr>
          <w:p w14:paraId="0E839A7F">
            <w:pPr>
              <w:ind w:left="0"/>
              <w:jc w:val="center"/>
              <w:rPr>
                <w:rFonts w:cs="宋体"/>
                <w:color w:val="000000"/>
                <w:sz w:val="22"/>
                <w:szCs w:val="22"/>
              </w:rPr>
            </w:pPr>
            <w:r>
              <w:rPr>
                <w:rFonts w:hint="eastAsia"/>
                <w:color w:val="000000"/>
                <w:sz w:val="22"/>
                <w:szCs w:val="22"/>
              </w:rPr>
              <w:t>88.5</w:t>
            </w:r>
          </w:p>
        </w:tc>
        <w:tc>
          <w:tcPr>
            <w:tcW w:w="1160" w:type="pct"/>
            <w:tcBorders>
              <w:top w:val="single" w:color="auto" w:sz="4" w:space="0"/>
              <w:left w:val="nil"/>
              <w:bottom w:val="single" w:color="auto" w:sz="4" w:space="0"/>
              <w:right w:val="single" w:color="auto" w:sz="4" w:space="0"/>
            </w:tcBorders>
            <w:vAlign w:val="center"/>
          </w:tcPr>
          <w:p w14:paraId="69CAC01E">
            <w:pPr>
              <w:ind w:left="0"/>
              <w:jc w:val="center"/>
              <w:rPr>
                <w:rFonts w:cs="宋体"/>
                <w:color w:val="000000"/>
                <w:sz w:val="22"/>
                <w:szCs w:val="22"/>
              </w:rPr>
            </w:pPr>
            <w:r>
              <w:rPr>
                <w:rFonts w:hint="eastAsia"/>
                <w:color w:val="000000"/>
                <w:sz w:val="22"/>
                <w:szCs w:val="22"/>
              </w:rPr>
              <w:t>88.50</w:t>
            </w:r>
          </w:p>
        </w:tc>
        <w:tc>
          <w:tcPr>
            <w:tcW w:w="1007" w:type="pct"/>
            <w:tcBorders>
              <w:top w:val="single" w:color="auto" w:sz="4" w:space="0"/>
              <w:left w:val="nil"/>
              <w:bottom w:val="single" w:color="auto" w:sz="4" w:space="0"/>
              <w:right w:val="single" w:color="auto" w:sz="4" w:space="0"/>
            </w:tcBorders>
            <w:vAlign w:val="center"/>
          </w:tcPr>
          <w:p w14:paraId="223931C4">
            <w:pPr>
              <w:ind w:left="0"/>
              <w:jc w:val="center"/>
              <w:rPr>
                <w:rFonts w:cs="宋体"/>
                <w:color w:val="000000"/>
                <w:sz w:val="22"/>
                <w:szCs w:val="22"/>
              </w:rPr>
            </w:pPr>
            <w:r>
              <w:rPr>
                <w:rFonts w:hint="eastAsia"/>
                <w:color w:val="000000"/>
                <w:sz w:val="22"/>
                <w:szCs w:val="22"/>
              </w:rPr>
              <w:t>0.00</w:t>
            </w:r>
          </w:p>
        </w:tc>
        <w:tc>
          <w:tcPr>
            <w:tcW w:w="1205" w:type="pct"/>
            <w:tcBorders>
              <w:top w:val="single" w:color="auto" w:sz="4" w:space="0"/>
              <w:left w:val="nil"/>
              <w:bottom w:val="single" w:color="auto" w:sz="4" w:space="0"/>
              <w:right w:val="single" w:color="auto" w:sz="4" w:space="0"/>
            </w:tcBorders>
            <w:vAlign w:val="center"/>
          </w:tcPr>
          <w:p w14:paraId="0736F124">
            <w:pPr>
              <w:ind w:left="0"/>
              <w:jc w:val="center"/>
              <w:rPr>
                <w:rFonts w:cs="宋体"/>
                <w:color w:val="000000"/>
                <w:sz w:val="22"/>
                <w:szCs w:val="22"/>
              </w:rPr>
            </w:pPr>
            <w:r>
              <w:rPr>
                <w:rFonts w:hint="eastAsia"/>
                <w:color w:val="000000"/>
                <w:sz w:val="22"/>
                <w:szCs w:val="22"/>
              </w:rPr>
              <w:t>0.12</w:t>
            </w:r>
          </w:p>
        </w:tc>
      </w:tr>
      <w:tr w14:paraId="66BB9BE9">
        <w:tblPrEx>
          <w:tblCellMar>
            <w:top w:w="0" w:type="dxa"/>
            <w:left w:w="108" w:type="dxa"/>
            <w:bottom w:w="0" w:type="dxa"/>
            <w:right w:w="108" w:type="dxa"/>
          </w:tblCellMar>
        </w:tblPrEx>
        <w:trPr>
          <w:trHeight w:val="290" w:hRule="atLeast"/>
          <w:jc w:val="center"/>
        </w:trPr>
        <w:tc>
          <w:tcPr>
            <w:tcW w:w="650" w:type="pct"/>
            <w:tcBorders>
              <w:top w:val="nil"/>
              <w:left w:val="single" w:color="auto" w:sz="4" w:space="0"/>
              <w:bottom w:val="single" w:color="auto" w:sz="4" w:space="0"/>
              <w:right w:val="single" w:color="auto" w:sz="4" w:space="0"/>
            </w:tcBorders>
            <w:vAlign w:val="center"/>
          </w:tcPr>
          <w:p w14:paraId="29F60304">
            <w:pPr>
              <w:ind w:left="0"/>
              <w:jc w:val="center"/>
              <w:rPr>
                <w:rFonts w:cs="宋体"/>
                <w:color w:val="000000"/>
                <w:kern w:val="0"/>
                <w:sz w:val="21"/>
                <w:szCs w:val="21"/>
              </w:rPr>
            </w:pPr>
            <w:r>
              <w:rPr>
                <w:rFonts w:hint="eastAsia" w:cs="宋体"/>
                <w:color w:val="000000"/>
                <w:kern w:val="0"/>
                <w:sz w:val="21"/>
                <w:szCs w:val="21"/>
              </w:rPr>
              <w:t>3</w:t>
            </w:r>
          </w:p>
        </w:tc>
        <w:tc>
          <w:tcPr>
            <w:tcW w:w="978" w:type="pct"/>
            <w:tcBorders>
              <w:top w:val="single" w:color="auto" w:sz="4" w:space="0"/>
              <w:left w:val="nil"/>
              <w:bottom w:val="single" w:color="auto" w:sz="4" w:space="0"/>
              <w:right w:val="single" w:color="auto" w:sz="4" w:space="0"/>
            </w:tcBorders>
            <w:vAlign w:val="center"/>
          </w:tcPr>
          <w:p w14:paraId="5DDE893E">
            <w:pPr>
              <w:ind w:left="0"/>
              <w:jc w:val="center"/>
              <w:rPr>
                <w:rFonts w:cs="宋体"/>
                <w:color w:val="000000"/>
                <w:sz w:val="22"/>
                <w:szCs w:val="22"/>
              </w:rPr>
            </w:pPr>
            <w:r>
              <w:rPr>
                <w:rFonts w:hint="eastAsia"/>
                <w:color w:val="000000"/>
                <w:sz w:val="22"/>
                <w:szCs w:val="22"/>
              </w:rPr>
              <w:t>160.85</w:t>
            </w:r>
          </w:p>
        </w:tc>
        <w:tc>
          <w:tcPr>
            <w:tcW w:w="1160" w:type="pct"/>
            <w:tcBorders>
              <w:top w:val="single" w:color="auto" w:sz="4" w:space="0"/>
              <w:left w:val="nil"/>
              <w:bottom w:val="single" w:color="auto" w:sz="4" w:space="0"/>
              <w:right w:val="single" w:color="auto" w:sz="4" w:space="0"/>
            </w:tcBorders>
            <w:vAlign w:val="center"/>
          </w:tcPr>
          <w:p w14:paraId="3D43F2BB">
            <w:pPr>
              <w:ind w:left="0"/>
              <w:jc w:val="center"/>
              <w:rPr>
                <w:rFonts w:cs="宋体"/>
                <w:color w:val="000000"/>
                <w:sz w:val="22"/>
                <w:szCs w:val="22"/>
              </w:rPr>
            </w:pPr>
            <w:r>
              <w:rPr>
                <w:rFonts w:hint="eastAsia"/>
                <w:color w:val="000000"/>
                <w:sz w:val="22"/>
                <w:szCs w:val="22"/>
              </w:rPr>
              <w:t>160.85</w:t>
            </w:r>
          </w:p>
        </w:tc>
        <w:tc>
          <w:tcPr>
            <w:tcW w:w="1007" w:type="pct"/>
            <w:tcBorders>
              <w:top w:val="single" w:color="auto" w:sz="4" w:space="0"/>
              <w:left w:val="nil"/>
              <w:bottom w:val="single" w:color="auto" w:sz="4" w:space="0"/>
              <w:right w:val="single" w:color="auto" w:sz="4" w:space="0"/>
            </w:tcBorders>
            <w:vAlign w:val="center"/>
          </w:tcPr>
          <w:p w14:paraId="72C3B64A">
            <w:pPr>
              <w:ind w:left="0"/>
              <w:jc w:val="center"/>
              <w:rPr>
                <w:rFonts w:cs="宋体"/>
                <w:color w:val="000000"/>
                <w:sz w:val="22"/>
                <w:szCs w:val="22"/>
              </w:rPr>
            </w:pPr>
            <w:r>
              <w:rPr>
                <w:rFonts w:hint="eastAsia"/>
                <w:color w:val="000000"/>
                <w:sz w:val="22"/>
                <w:szCs w:val="22"/>
              </w:rPr>
              <w:t>0.00</w:t>
            </w:r>
          </w:p>
        </w:tc>
        <w:tc>
          <w:tcPr>
            <w:tcW w:w="1205" w:type="pct"/>
            <w:tcBorders>
              <w:top w:val="single" w:color="auto" w:sz="4" w:space="0"/>
              <w:left w:val="nil"/>
              <w:bottom w:val="single" w:color="auto" w:sz="4" w:space="0"/>
              <w:right w:val="single" w:color="auto" w:sz="4" w:space="0"/>
            </w:tcBorders>
            <w:vAlign w:val="center"/>
          </w:tcPr>
          <w:p w14:paraId="5935243A">
            <w:pPr>
              <w:ind w:left="0"/>
              <w:jc w:val="center"/>
              <w:rPr>
                <w:rFonts w:cs="宋体"/>
                <w:color w:val="000000"/>
                <w:sz w:val="22"/>
                <w:szCs w:val="22"/>
              </w:rPr>
            </w:pPr>
            <w:r>
              <w:rPr>
                <w:rFonts w:hint="eastAsia"/>
                <w:color w:val="000000"/>
                <w:sz w:val="22"/>
                <w:szCs w:val="22"/>
              </w:rPr>
              <w:t>0.15</w:t>
            </w:r>
          </w:p>
        </w:tc>
      </w:tr>
      <w:tr w14:paraId="2511D6D3">
        <w:tblPrEx>
          <w:tblCellMar>
            <w:top w:w="0" w:type="dxa"/>
            <w:left w:w="108" w:type="dxa"/>
            <w:bottom w:w="0" w:type="dxa"/>
            <w:right w:w="108" w:type="dxa"/>
          </w:tblCellMar>
        </w:tblPrEx>
        <w:trPr>
          <w:trHeight w:val="340" w:hRule="atLeast"/>
          <w:jc w:val="center"/>
        </w:trPr>
        <w:tc>
          <w:tcPr>
            <w:tcW w:w="650" w:type="pct"/>
            <w:tcBorders>
              <w:top w:val="nil"/>
              <w:left w:val="single" w:color="auto" w:sz="4" w:space="0"/>
              <w:bottom w:val="single" w:color="auto" w:sz="4" w:space="0"/>
              <w:right w:val="single" w:color="auto" w:sz="4" w:space="0"/>
            </w:tcBorders>
            <w:vAlign w:val="center"/>
          </w:tcPr>
          <w:p w14:paraId="4659277D">
            <w:pPr>
              <w:ind w:left="0"/>
              <w:jc w:val="center"/>
              <w:rPr>
                <w:rFonts w:cs="宋体"/>
                <w:color w:val="000000"/>
                <w:kern w:val="0"/>
                <w:sz w:val="21"/>
                <w:szCs w:val="21"/>
              </w:rPr>
            </w:pPr>
            <w:r>
              <w:rPr>
                <w:rFonts w:hint="eastAsia" w:cs="宋体"/>
                <w:color w:val="000000"/>
                <w:kern w:val="0"/>
                <w:sz w:val="21"/>
                <w:szCs w:val="21"/>
              </w:rPr>
              <w:t>4</w:t>
            </w:r>
          </w:p>
        </w:tc>
        <w:tc>
          <w:tcPr>
            <w:tcW w:w="978" w:type="pct"/>
            <w:tcBorders>
              <w:top w:val="single" w:color="auto" w:sz="4" w:space="0"/>
              <w:left w:val="nil"/>
              <w:bottom w:val="single" w:color="auto" w:sz="4" w:space="0"/>
              <w:right w:val="single" w:color="auto" w:sz="4" w:space="0"/>
            </w:tcBorders>
            <w:vAlign w:val="center"/>
          </w:tcPr>
          <w:p w14:paraId="654CCB30">
            <w:pPr>
              <w:ind w:left="0"/>
              <w:jc w:val="center"/>
              <w:rPr>
                <w:rFonts w:cs="宋体"/>
                <w:color w:val="000000"/>
                <w:sz w:val="22"/>
                <w:szCs w:val="22"/>
              </w:rPr>
            </w:pPr>
            <w:r>
              <w:rPr>
                <w:rFonts w:hint="eastAsia"/>
                <w:color w:val="000000"/>
                <w:sz w:val="22"/>
                <w:szCs w:val="22"/>
              </w:rPr>
              <w:t>233.25</w:t>
            </w:r>
          </w:p>
        </w:tc>
        <w:tc>
          <w:tcPr>
            <w:tcW w:w="1160" w:type="pct"/>
            <w:tcBorders>
              <w:top w:val="single" w:color="auto" w:sz="4" w:space="0"/>
              <w:left w:val="nil"/>
              <w:bottom w:val="single" w:color="auto" w:sz="4" w:space="0"/>
              <w:right w:val="single" w:color="auto" w:sz="4" w:space="0"/>
            </w:tcBorders>
            <w:vAlign w:val="center"/>
          </w:tcPr>
          <w:p w14:paraId="4E1BD60A">
            <w:pPr>
              <w:ind w:left="0"/>
              <w:jc w:val="center"/>
              <w:rPr>
                <w:rFonts w:cs="宋体"/>
                <w:color w:val="000000"/>
                <w:sz w:val="22"/>
                <w:szCs w:val="22"/>
              </w:rPr>
            </w:pPr>
            <w:r>
              <w:rPr>
                <w:rFonts w:hint="eastAsia"/>
                <w:color w:val="000000"/>
                <w:sz w:val="22"/>
                <w:szCs w:val="22"/>
              </w:rPr>
              <w:t>233.20</w:t>
            </w:r>
          </w:p>
        </w:tc>
        <w:tc>
          <w:tcPr>
            <w:tcW w:w="1007" w:type="pct"/>
            <w:tcBorders>
              <w:top w:val="single" w:color="auto" w:sz="4" w:space="0"/>
              <w:left w:val="nil"/>
              <w:bottom w:val="single" w:color="auto" w:sz="4" w:space="0"/>
              <w:right w:val="single" w:color="auto" w:sz="4" w:space="0"/>
            </w:tcBorders>
            <w:vAlign w:val="center"/>
          </w:tcPr>
          <w:p w14:paraId="1CEF232A">
            <w:pPr>
              <w:ind w:left="0"/>
              <w:jc w:val="center"/>
              <w:rPr>
                <w:rFonts w:cs="宋体"/>
                <w:color w:val="000000"/>
                <w:sz w:val="22"/>
                <w:szCs w:val="22"/>
              </w:rPr>
            </w:pPr>
            <w:r>
              <w:rPr>
                <w:rFonts w:hint="eastAsia"/>
                <w:color w:val="000000"/>
                <w:sz w:val="22"/>
                <w:szCs w:val="22"/>
              </w:rPr>
              <w:t>-0.05</w:t>
            </w:r>
          </w:p>
        </w:tc>
        <w:tc>
          <w:tcPr>
            <w:tcW w:w="1205" w:type="pct"/>
            <w:tcBorders>
              <w:top w:val="single" w:color="auto" w:sz="4" w:space="0"/>
              <w:left w:val="nil"/>
              <w:bottom w:val="single" w:color="auto" w:sz="4" w:space="0"/>
              <w:right w:val="single" w:color="auto" w:sz="4" w:space="0"/>
            </w:tcBorders>
            <w:vAlign w:val="center"/>
          </w:tcPr>
          <w:p w14:paraId="1D24BA75">
            <w:pPr>
              <w:ind w:left="0"/>
              <w:jc w:val="center"/>
              <w:rPr>
                <w:rFonts w:cs="宋体"/>
                <w:color w:val="000000"/>
                <w:sz w:val="22"/>
                <w:szCs w:val="22"/>
              </w:rPr>
            </w:pPr>
            <w:r>
              <w:rPr>
                <w:rFonts w:hint="eastAsia"/>
                <w:color w:val="000000"/>
                <w:sz w:val="22"/>
                <w:szCs w:val="22"/>
              </w:rPr>
              <w:t>0.19</w:t>
            </w:r>
          </w:p>
        </w:tc>
      </w:tr>
      <w:tr w14:paraId="61707BC3">
        <w:tblPrEx>
          <w:tblCellMar>
            <w:top w:w="0" w:type="dxa"/>
            <w:left w:w="108" w:type="dxa"/>
            <w:bottom w:w="0" w:type="dxa"/>
            <w:right w:w="108" w:type="dxa"/>
          </w:tblCellMar>
        </w:tblPrEx>
        <w:trPr>
          <w:trHeight w:val="290" w:hRule="atLeast"/>
          <w:jc w:val="center"/>
        </w:trPr>
        <w:tc>
          <w:tcPr>
            <w:tcW w:w="650" w:type="pct"/>
            <w:tcBorders>
              <w:top w:val="nil"/>
              <w:left w:val="single" w:color="auto" w:sz="4" w:space="0"/>
              <w:bottom w:val="single" w:color="auto" w:sz="4" w:space="0"/>
              <w:right w:val="single" w:color="auto" w:sz="4" w:space="0"/>
            </w:tcBorders>
            <w:vAlign w:val="center"/>
          </w:tcPr>
          <w:p w14:paraId="386B1899">
            <w:pPr>
              <w:ind w:left="0"/>
              <w:jc w:val="center"/>
              <w:rPr>
                <w:rFonts w:cs="宋体"/>
                <w:color w:val="000000"/>
                <w:kern w:val="0"/>
                <w:sz w:val="21"/>
                <w:szCs w:val="21"/>
              </w:rPr>
            </w:pPr>
            <w:r>
              <w:rPr>
                <w:rFonts w:hint="eastAsia" w:cs="宋体"/>
                <w:color w:val="000000"/>
                <w:kern w:val="0"/>
                <w:sz w:val="21"/>
                <w:szCs w:val="21"/>
              </w:rPr>
              <w:t>5</w:t>
            </w:r>
          </w:p>
        </w:tc>
        <w:tc>
          <w:tcPr>
            <w:tcW w:w="978" w:type="pct"/>
            <w:tcBorders>
              <w:top w:val="single" w:color="auto" w:sz="4" w:space="0"/>
              <w:left w:val="nil"/>
              <w:bottom w:val="single" w:color="auto" w:sz="4" w:space="0"/>
              <w:right w:val="single" w:color="auto" w:sz="4" w:space="0"/>
            </w:tcBorders>
            <w:vAlign w:val="center"/>
          </w:tcPr>
          <w:p w14:paraId="7F9B650B">
            <w:pPr>
              <w:ind w:left="0"/>
              <w:jc w:val="center"/>
              <w:rPr>
                <w:rFonts w:cs="宋体"/>
                <w:color w:val="000000"/>
                <w:sz w:val="22"/>
                <w:szCs w:val="22"/>
              </w:rPr>
            </w:pPr>
            <w:r>
              <w:rPr>
                <w:rFonts w:hint="eastAsia"/>
                <w:color w:val="000000"/>
                <w:sz w:val="22"/>
                <w:szCs w:val="22"/>
              </w:rPr>
              <w:t>304.45</w:t>
            </w:r>
          </w:p>
        </w:tc>
        <w:tc>
          <w:tcPr>
            <w:tcW w:w="1160" w:type="pct"/>
            <w:tcBorders>
              <w:top w:val="single" w:color="auto" w:sz="4" w:space="0"/>
              <w:left w:val="nil"/>
              <w:bottom w:val="single" w:color="auto" w:sz="4" w:space="0"/>
              <w:right w:val="single" w:color="auto" w:sz="4" w:space="0"/>
            </w:tcBorders>
            <w:vAlign w:val="center"/>
          </w:tcPr>
          <w:p w14:paraId="0780516F">
            <w:pPr>
              <w:ind w:left="0"/>
              <w:jc w:val="center"/>
              <w:rPr>
                <w:rFonts w:cs="宋体"/>
                <w:color w:val="000000"/>
                <w:sz w:val="22"/>
                <w:szCs w:val="22"/>
              </w:rPr>
            </w:pPr>
            <w:r>
              <w:rPr>
                <w:rFonts w:hint="eastAsia"/>
                <w:color w:val="000000"/>
                <w:sz w:val="22"/>
                <w:szCs w:val="22"/>
              </w:rPr>
              <w:t>304.30</w:t>
            </w:r>
          </w:p>
        </w:tc>
        <w:tc>
          <w:tcPr>
            <w:tcW w:w="1007" w:type="pct"/>
            <w:tcBorders>
              <w:top w:val="single" w:color="auto" w:sz="4" w:space="0"/>
              <w:left w:val="nil"/>
              <w:bottom w:val="single" w:color="auto" w:sz="4" w:space="0"/>
              <w:right w:val="single" w:color="auto" w:sz="4" w:space="0"/>
            </w:tcBorders>
            <w:vAlign w:val="center"/>
          </w:tcPr>
          <w:p w14:paraId="60C0BB4E">
            <w:pPr>
              <w:ind w:left="0"/>
              <w:jc w:val="center"/>
              <w:rPr>
                <w:rFonts w:cs="宋体"/>
                <w:color w:val="000000"/>
                <w:sz w:val="22"/>
                <w:szCs w:val="22"/>
              </w:rPr>
            </w:pPr>
            <w:r>
              <w:rPr>
                <w:rFonts w:hint="eastAsia"/>
                <w:color w:val="000000"/>
                <w:sz w:val="22"/>
                <w:szCs w:val="22"/>
              </w:rPr>
              <w:t>-0.15</w:t>
            </w:r>
          </w:p>
        </w:tc>
        <w:tc>
          <w:tcPr>
            <w:tcW w:w="1205" w:type="pct"/>
            <w:tcBorders>
              <w:top w:val="single" w:color="auto" w:sz="4" w:space="0"/>
              <w:left w:val="nil"/>
              <w:bottom w:val="single" w:color="auto" w:sz="4" w:space="0"/>
              <w:right w:val="single" w:color="auto" w:sz="4" w:space="0"/>
            </w:tcBorders>
            <w:vAlign w:val="center"/>
          </w:tcPr>
          <w:p w14:paraId="5CDE9113">
            <w:pPr>
              <w:ind w:left="0"/>
              <w:jc w:val="center"/>
              <w:rPr>
                <w:rFonts w:cs="宋体"/>
                <w:color w:val="000000"/>
                <w:sz w:val="22"/>
                <w:szCs w:val="22"/>
              </w:rPr>
            </w:pPr>
            <w:r>
              <w:rPr>
                <w:rFonts w:hint="eastAsia"/>
                <w:color w:val="000000"/>
                <w:sz w:val="22"/>
                <w:szCs w:val="22"/>
              </w:rPr>
              <w:t>0.22</w:t>
            </w:r>
          </w:p>
        </w:tc>
      </w:tr>
      <w:tr w14:paraId="739D7B90">
        <w:tblPrEx>
          <w:tblCellMar>
            <w:top w:w="0" w:type="dxa"/>
            <w:left w:w="108" w:type="dxa"/>
            <w:bottom w:w="0" w:type="dxa"/>
            <w:right w:w="108" w:type="dxa"/>
          </w:tblCellMar>
        </w:tblPrEx>
        <w:trPr>
          <w:trHeight w:val="290" w:hRule="atLeast"/>
          <w:jc w:val="center"/>
        </w:trPr>
        <w:tc>
          <w:tcPr>
            <w:tcW w:w="650" w:type="pct"/>
            <w:tcBorders>
              <w:top w:val="nil"/>
              <w:left w:val="single" w:color="auto" w:sz="4" w:space="0"/>
              <w:bottom w:val="single" w:color="auto" w:sz="4" w:space="0"/>
              <w:right w:val="single" w:color="auto" w:sz="4" w:space="0"/>
            </w:tcBorders>
            <w:vAlign w:val="center"/>
          </w:tcPr>
          <w:p w14:paraId="3348DD54">
            <w:pPr>
              <w:ind w:left="0"/>
              <w:jc w:val="center"/>
              <w:rPr>
                <w:rFonts w:cs="宋体"/>
                <w:color w:val="000000"/>
                <w:kern w:val="0"/>
                <w:sz w:val="21"/>
                <w:szCs w:val="21"/>
              </w:rPr>
            </w:pPr>
            <w:r>
              <w:rPr>
                <w:rFonts w:hint="eastAsia" w:cs="宋体"/>
                <w:color w:val="000000"/>
                <w:kern w:val="0"/>
                <w:sz w:val="21"/>
                <w:szCs w:val="21"/>
              </w:rPr>
              <w:t>6</w:t>
            </w:r>
          </w:p>
        </w:tc>
        <w:tc>
          <w:tcPr>
            <w:tcW w:w="978" w:type="pct"/>
            <w:tcBorders>
              <w:top w:val="single" w:color="auto" w:sz="4" w:space="0"/>
              <w:left w:val="nil"/>
              <w:bottom w:val="single" w:color="auto" w:sz="4" w:space="0"/>
              <w:right w:val="single" w:color="auto" w:sz="4" w:space="0"/>
            </w:tcBorders>
            <w:vAlign w:val="center"/>
          </w:tcPr>
          <w:p w14:paraId="0D5FB22A">
            <w:pPr>
              <w:ind w:left="0"/>
              <w:jc w:val="center"/>
              <w:rPr>
                <w:rFonts w:cs="宋体"/>
                <w:color w:val="000000"/>
                <w:sz w:val="22"/>
                <w:szCs w:val="22"/>
              </w:rPr>
            </w:pPr>
            <w:r>
              <w:rPr>
                <w:rFonts w:hint="eastAsia"/>
                <w:color w:val="000000"/>
                <w:sz w:val="22"/>
                <w:szCs w:val="22"/>
              </w:rPr>
              <w:t>376.75</w:t>
            </w:r>
          </w:p>
        </w:tc>
        <w:tc>
          <w:tcPr>
            <w:tcW w:w="1160" w:type="pct"/>
            <w:tcBorders>
              <w:top w:val="single" w:color="auto" w:sz="4" w:space="0"/>
              <w:left w:val="nil"/>
              <w:bottom w:val="single" w:color="auto" w:sz="4" w:space="0"/>
              <w:right w:val="single" w:color="auto" w:sz="4" w:space="0"/>
            </w:tcBorders>
            <w:vAlign w:val="center"/>
          </w:tcPr>
          <w:p w14:paraId="2B42B626">
            <w:pPr>
              <w:ind w:left="0"/>
              <w:jc w:val="center"/>
              <w:rPr>
                <w:rFonts w:cs="宋体"/>
                <w:color w:val="000000"/>
                <w:sz w:val="22"/>
                <w:szCs w:val="22"/>
              </w:rPr>
            </w:pPr>
            <w:r>
              <w:rPr>
                <w:rFonts w:hint="eastAsia"/>
                <w:color w:val="000000"/>
                <w:sz w:val="22"/>
                <w:szCs w:val="22"/>
              </w:rPr>
              <w:t>376.60</w:t>
            </w:r>
          </w:p>
        </w:tc>
        <w:tc>
          <w:tcPr>
            <w:tcW w:w="1007" w:type="pct"/>
            <w:tcBorders>
              <w:top w:val="single" w:color="auto" w:sz="4" w:space="0"/>
              <w:left w:val="nil"/>
              <w:bottom w:val="single" w:color="auto" w:sz="4" w:space="0"/>
              <w:right w:val="single" w:color="auto" w:sz="4" w:space="0"/>
            </w:tcBorders>
            <w:vAlign w:val="center"/>
          </w:tcPr>
          <w:p w14:paraId="39528ED2">
            <w:pPr>
              <w:ind w:left="0"/>
              <w:jc w:val="center"/>
              <w:rPr>
                <w:rFonts w:cs="宋体"/>
                <w:color w:val="000000"/>
                <w:sz w:val="22"/>
                <w:szCs w:val="22"/>
              </w:rPr>
            </w:pPr>
            <w:r>
              <w:rPr>
                <w:rFonts w:hint="eastAsia"/>
                <w:color w:val="000000"/>
                <w:sz w:val="22"/>
                <w:szCs w:val="22"/>
              </w:rPr>
              <w:t>-0.15</w:t>
            </w:r>
          </w:p>
        </w:tc>
        <w:tc>
          <w:tcPr>
            <w:tcW w:w="1205" w:type="pct"/>
            <w:tcBorders>
              <w:top w:val="single" w:color="auto" w:sz="4" w:space="0"/>
              <w:left w:val="nil"/>
              <w:bottom w:val="single" w:color="auto" w:sz="4" w:space="0"/>
              <w:right w:val="single" w:color="auto" w:sz="4" w:space="0"/>
            </w:tcBorders>
            <w:vAlign w:val="center"/>
          </w:tcPr>
          <w:p w14:paraId="2F3DDEEA">
            <w:pPr>
              <w:ind w:left="0"/>
              <w:jc w:val="center"/>
              <w:rPr>
                <w:rFonts w:cs="宋体"/>
                <w:color w:val="000000"/>
                <w:sz w:val="22"/>
                <w:szCs w:val="22"/>
              </w:rPr>
            </w:pPr>
            <w:r>
              <w:rPr>
                <w:rFonts w:hint="eastAsia"/>
                <w:color w:val="000000"/>
                <w:sz w:val="22"/>
                <w:szCs w:val="22"/>
              </w:rPr>
              <w:t>0.26</w:t>
            </w:r>
          </w:p>
        </w:tc>
      </w:tr>
      <w:tr w14:paraId="2E2C5083">
        <w:tblPrEx>
          <w:tblCellMar>
            <w:top w:w="0" w:type="dxa"/>
            <w:left w:w="108" w:type="dxa"/>
            <w:bottom w:w="0" w:type="dxa"/>
            <w:right w:w="108" w:type="dxa"/>
          </w:tblCellMar>
        </w:tblPrEx>
        <w:trPr>
          <w:trHeight w:val="340" w:hRule="atLeast"/>
          <w:jc w:val="center"/>
        </w:trPr>
        <w:tc>
          <w:tcPr>
            <w:tcW w:w="650" w:type="pct"/>
            <w:tcBorders>
              <w:top w:val="nil"/>
              <w:left w:val="single" w:color="auto" w:sz="4" w:space="0"/>
              <w:bottom w:val="single" w:color="auto" w:sz="4" w:space="0"/>
              <w:right w:val="single" w:color="auto" w:sz="4" w:space="0"/>
            </w:tcBorders>
            <w:vAlign w:val="center"/>
          </w:tcPr>
          <w:p w14:paraId="7B9A4B3B">
            <w:pPr>
              <w:ind w:left="0"/>
              <w:jc w:val="center"/>
              <w:rPr>
                <w:rFonts w:cs="宋体"/>
                <w:color w:val="000000"/>
                <w:kern w:val="0"/>
                <w:sz w:val="21"/>
                <w:szCs w:val="21"/>
              </w:rPr>
            </w:pPr>
            <w:r>
              <w:rPr>
                <w:rFonts w:hint="eastAsia" w:cs="宋体"/>
                <w:color w:val="000000"/>
                <w:kern w:val="0"/>
                <w:sz w:val="21"/>
                <w:szCs w:val="21"/>
              </w:rPr>
              <w:t>7</w:t>
            </w:r>
          </w:p>
        </w:tc>
        <w:tc>
          <w:tcPr>
            <w:tcW w:w="978" w:type="pct"/>
            <w:tcBorders>
              <w:top w:val="single" w:color="auto" w:sz="4" w:space="0"/>
              <w:left w:val="nil"/>
              <w:bottom w:val="single" w:color="auto" w:sz="4" w:space="0"/>
              <w:right w:val="single" w:color="auto" w:sz="4" w:space="0"/>
            </w:tcBorders>
            <w:vAlign w:val="center"/>
          </w:tcPr>
          <w:p w14:paraId="69450374">
            <w:pPr>
              <w:ind w:left="0"/>
              <w:jc w:val="center"/>
              <w:rPr>
                <w:rFonts w:cs="宋体"/>
                <w:color w:val="000000"/>
                <w:sz w:val="22"/>
                <w:szCs w:val="22"/>
              </w:rPr>
            </w:pPr>
            <w:r>
              <w:rPr>
                <w:rFonts w:hint="eastAsia"/>
                <w:color w:val="000000"/>
                <w:sz w:val="22"/>
                <w:szCs w:val="22"/>
              </w:rPr>
              <w:t>448.8</w:t>
            </w:r>
          </w:p>
        </w:tc>
        <w:tc>
          <w:tcPr>
            <w:tcW w:w="1160" w:type="pct"/>
            <w:tcBorders>
              <w:top w:val="single" w:color="auto" w:sz="4" w:space="0"/>
              <w:left w:val="nil"/>
              <w:bottom w:val="single" w:color="auto" w:sz="4" w:space="0"/>
              <w:right w:val="single" w:color="auto" w:sz="4" w:space="0"/>
            </w:tcBorders>
            <w:vAlign w:val="center"/>
          </w:tcPr>
          <w:p w14:paraId="17A25E12">
            <w:pPr>
              <w:ind w:left="0"/>
              <w:jc w:val="center"/>
              <w:rPr>
                <w:rFonts w:cs="宋体"/>
                <w:color w:val="000000"/>
                <w:sz w:val="22"/>
                <w:szCs w:val="22"/>
              </w:rPr>
            </w:pPr>
            <w:r>
              <w:rPr>
                <w:rFonts w:hint="eastAsia"/>
                <w:color w:val="000000"/>
                <w:sz w:val="22"/>
                <w:szCs w:val="22"/>
              </w:rPr>
              <w:t>448.75</w:t>
            </w:r>
          </w:p>
        </w:tc>
        <w:tc>
          <w:tcPr>
            <w:tcW w:w="1007" w:type="pct"/>
            <w:tcBorders>
              <w:top w:val="single" w:color="auto" w:sz="4" w:space="0"/>
              <w:left w:val="nil"/>
              <w:bottom w:val="single" w:color="auto" w:sz="4" w:space="0"/>
              <w:right w:val="single" w:color="auto" w:sz="4" w:space="0"/>
            </w:tcBorders>
            <w:vAlign w:val="center"/>
          </w:tcPr>
          <w:p w14:paraId="4AFFA5B7">
            <w:pPr>
              <w:ind w:left="0"/>
              <w:jc w:val="center"/>
              <w:rPr>
                <w:rFonts w:cs="宋体"/>
                <w:color w:val="000000"/>
                <w:sz w:val="22"/>
                <w:szCs w:val="22"/>
              </w:rPr>
            </w:pPr>
            <w:r>
              <w:rPr>
                <w:rFonts w:hint="eastAsia"/>
                <w:color w:val="000000"/>
                <w:sz w:val="22"/>
                <w:szCs w:val="22"/>
              </w:rPr>
              <w:t>-0.05</w:t>
            </w:r>
          </w:p>
        </w:tc>
        <w:tc>
          <w:tcPr>
            <w:tcW w:w="1205" w:type="pct"/>
            <w:tcBorders>
              <w:top w:val="single" w:color="auto" w:sz="4" w:space="0"/>
              <w:left w:val="nil"/>
              <w:bottom w:val="single" w:color="auto" w:sz="4" w:space="0"/>
              <w:right w:val="single" w:color="auto" w:sz="4" w:space="0"/>
            </w:tcBorders>
            <w:vAlign w:val="center"/>
          </w:tcPr>
          <w:p w14:paraId="4C853AC4">
            <w:pPr>
              <w:ind w:left="0"/>
              <w:jc w:val="center"/>
              <w:rPr>
                <w:rFonts w:cs="宋体"/>
                <w:color w:val="000000"/>
                <w:sz w:val="22"/>
                <w:szCs w:val="22"/>
              </w:rPr>
            </w:pPr>
            <w:r>
              <w:rPr>
                <w:rFonts w:hint="eastAsia"/>
                <w:color w:val="000000"/>
                <w:sz w:val="22"/>
                <w:szCs w:val="22"/>
              </w:rPr>
              <w:t>0.30</w:t>
            </w:r>
          </w:p>
        </w:tc>
      </w:tr>
      <w:tr w14:paraId="79A0220A">
        <w:tblPrEx>
          <w:tblCellMar>
            <w:top w:w="0" w:type="dxa"/>
            <w:left w:w="108" w:type="dxa"/>
            <w:bottom w:w="0" w:type="dxa"/>
            <w:right w:w="108" w:type="dxa"/>
          </w:tblCellMar>
        </w:tblPrEx>
        <w:trPr>
          <w:trHeight w:val="290" w:hRule="atLeast"/>
          <w:jc w:val="center"/>
        </w:trPr>
        <w:tc>
          <w:tcPr>
            <w:tcW w:w="650" w:type="pct"/>
            <w:tcBorders>
              <w:top w:val="nil"/>
              <w:left w:val="single" w:color="auto" w:sz="4" w:space="0"/>
              <w:bottom w:val="single" w:color="auto" w:sz="4" w:space="0"/>
              <w:right w:val="single" w:color="auto" w:sz="4" w:space="0"/>
            </w:tcBorders>
            <w:vAlign w:val="center"/>
          </w:tcPr>
          <w:p w14:paraId="75198D39">
            <w:pPr>
              <w:ind w:left="0"/>
              <w:jc w:val="center"/>
              <w:rPr>
                <w:rFonts w:cs="宋体"/>
                <w:color w:val="000000"/>
                <w:kern w:val="0"/>
                <w:sz w:val="21"/>
                <w:szCs w:val="21"/>
              </w:rPr>
            </w:pPr>
            <w:r>
              <w:rPr>
                <w:rFonts w:hint="eastAsia" w:cs="宋体"/>
                <w:color w:val="000000"/>
                <w:kern w:val="0"/>
                <w:sz w:val="21"/>
                <w:szCs w:val="21"/>
              </w:rPr>
              <w:t>8</w:t>
            </w:r>
          </w:p>
        </w:tc>
        <w:tc>
          <w:tcPr>
            <w:tcW w:w="978" w:type="pct"/>
            <w:tcBorders>
              <w:top w:val="single" w:color="auto" w:sz="4" w:space="0"/>
              <w:left w:val="nil"/>
              <w:bottom w:val="single" w:color="auto" w:sz="4" w:space="0"/>
              <w:right w:val="single" w:color="auto" w:sz="4" w:space="0"/>
            </w:tcBorders>
            <w:vAlign w:val="center"/>
          </w:tcPr>
          <w:p w14:paraId="704BC987">
            <w:pPr>
              <w:ind w:left="0"/>
              <w:jc w:val="center"/>
              <w:rPr>
                <w:rFonts w:cs="宋体"/>
                <w:color w:val="000000"/>
                <w:sz w:val="22"/>
                <w:szCs w:val="22"/>
              </w:rPr>
            </w:pPr>
            <w:r>
              <w:rPr>
                <w:rFonts w:hint="eastAsia"/>
                <w:color w:val="000000"/>
                <w:sz w:val="22"/>
                <w:szCs w:val="22"/>
              </w:rPr>
              <w:t>521.2</w:t>
            </w:r>
          </w:p>
        </w:tc>
        <w:tc>
          <w:tcPr>
            <w:tcW w:w="1160" w:type="pct"/>
            <w:tcBorders>
              <w:top w:val="single" w:color="auto" w:sz="4" w:space="0"/>
              <w:left w:val="nil"/>
              <w:bottom w:val="single" w:color="auto" w:sz="4" w:space="0"/>
              <w:right w:val="single" w:color="auto" w:sz="4" w:space="0"/>
            </w:tcBorders>
            <w:vAlign w:val="center"/>
          </w:tcPr>
          <w:p w14:paraId="267F29C5">
            <w:pPr>
              <w:ind w:left="0"/>
              <w:jc w:val="center"/>
              <w:rPr>
                <w:rFonts w:cs="宋体"/>
                <w:color w:val="000000"/>
                <w:sz w:val="22"/>
                <w:szCs w:val="22"/>
              </w:rPr>
            </w:pPr>
            <w:r>
              <w:rPr>
                <w:rFonts w:hint="eastAsia"/>
                <w:color w:val="000000"/>
                <w:sz w:val="22"/>
                <w:szCs w:val="22"/>
              </w:rPr>
              <w:t>521.20</w:t>
            </w:r>
          </w:p>
        </w:tc>
        <w:tc>
          <w:tcPr>
            <w:tcW w:w="1007" w:type="pct"/>
            <w:tcBorders>
              <w:top w:val="single" w:color="auto" w:sz="4" w:space="0"/>
              <w:left w:val="nil"/>
              <w:bottom w:val="single" w:color="auto" w:sz="4" w:space="0"/>
              <w:right w:val="single" w:color="auto" w:sz="4" w:space="0"/>
            </w:tcBorders>
            <w:vAlign w:val="center"/>
          </w:tcPr>
          <w:p w14:paraId="7772296E">
            <w:pPr>
              <w:ind w:left="0"/>
              <w:jc w:val="center"/>
              <w:rPr>
                <w:rFonts w:cs="宋体"/>
                <w:color w:val="000000"/>
                <w:sz w:val="22"/>
                <w:szCs w:val="22"/>
              </w:rPr>
            </w:pPr>
            <w:r>
              <w:rPr>
                <w:rFonts w:hint="eastAsia"/>
                <w:color w:val="000000"/>
                <w:sz w:val="22"/>
                <w:szCs w:val="22"/>
              </w:rPr>
              <w:t>0.00</w:t>
            </w:r>
          </w:p>
        </w:tc>
        <w:tc>
          <w:tcPr>
            <w:tcW w:w="1205" w:type="pct"/>
            <w:tcBorders>
              <w:top w:val="single" w:color="auto" w:sz="4" w:space="0"/>
              <w:left w:val="nil"/>
              <w:bottom w:val="single" w:color="auto" w:sz="4" w:space="0"/>
              <w:right w:val="single" w:color="auto" w:sz="4" w:space="0"/>
            </w:tcBorders>
            <w:vAlign w:val="center"/>
          </w:tcPr>
          <w:p w14:paraId="71AC4A02">
            <w:pPr>
              <w:ind w:left="0"/>
              <w:jc w:val="center"/>
              <w:rPr>
                <w:rFonts w:cs="宋体"/>
                <w:color w:val="000000"/>
                <w:sz w:val="22"/>
                <w:szCs w:val="22"/>
              </w:rPr>
            </w:pPr>
            <w:r>
              <w:rPr>
                <w:rFonts w:hint="eastAsia"/>
                <w:color w:val="000000"/>
                <w:sz w:val="22"/>
                <w:szCs w:val="22"/>
              </w:rPr>
              <w:t>0.34</w:t>
            </w:r>
          </w:p>
        </w:tc>
      </w:tr>
      <w:tr w14:paraId="5954FD32">
        <w:tblPrEx>
          <w:tblCellMar>
            <w:top w:w="0" w:type="dxa"/>
            <w:left w:w="108" w:type="dxa"/>
            <w:bottom w:w="0" w:type="dxa"/>
            <w:right w:w="108" w:type="dxa"/>
          </w:tblCellMar>
        </w:tblPrEx>
        <w:trPr>
          <w:trHeight w:val="290" w:hRule="atLeast"/>
          <w:jc w:val="center"/>
        </w:trPr>
        <w:tc>
          <w:tcPr>
            <w:tcW w:w="650" w:type="pct"/>
            <w:tcBorders>
              <w:top w:val="nil"/>
              <w:left w:val="single" w:color="auto" w:sz="4" w:space="0"/>
              <w:bottom w:val="single" w:color="auto" w:sz="4" w:space="0"/>
              <w:right w:val="single" w:color="auto" w:sz="4" w:space="0"/>
            </w:tcBorders>
            <w:vAlign w:val="center"/>
          </w:tcPr>
          <w:p w14:paraId="0F46C874">
            <w:pPr>
              <w:ind w:left="0"/>
              <w:jc w:val="center"/>
              <w:rPr>
                <w:rFonts w:cs="宋体"/>
                <w:color w:val="000000"/>
                <w:kern w:val="0"/>
                <w:sz w:val="21"/>
                <w:szCs w:val="21"/>
              </w:rPr>
            </w:pPr>
            <w:r>
              <w:rPr>
                <w:rFonts w:hint="eastAsia" w:cs="宋体"/>
                <w:color w:val="000000"/>
                <w:kern w:val="0"/>
                <w:sz w:val="21"/>
                <w:szCs w:val="21"/>
              </w:rPr>
              <w:t>9</w:t>
            </w:r>
          </w:p>
        </w:tc>
        <w:tc>
          <w:tcPr>
            <w:tcW w:w="978" w:type="pct"/>
            <w:tcBorders>
              <w:top w:val="single" w:color="auto" w:sz="4" w:space="0"/>
              <w:left w:val="nil"/>
              <w:bottom w:val="single" w:color="auto" w:sz="4" w:space="0"/>
              <w:right w:val="single" w:color="auto" w:sz="4" w:space="0"/>
            </w:tcBorders>
            <w:vAlign w:val="center"/>
          </w:tcPr>
          <w:p w14:paraId="2984D67F">
            <w:pPr>
              <w:ind w:left="0"/>
              <w:jc w:val="center"/>
              <w:rPr>
                <w:rFonts w:cs="宋体"/>
                <w:color w:val="000000"/>
                <w:sz w:val="22"/>
                <w:szCs w:val="22"/>
              </w:rPr>
            </w:pPr>
            <w:r>
              <w:rPr>
                <w:rFonts w:hint="eastAsia"/>
                <w:color w:val="000000"/>
                <w:sz w:val="22"/>
                <w:szCs w:val="22"/>
              </w:rPr>
              <w:t>593.65</w:t>
            </w:r>
          </w:p>
        </w:tc>
        <w:tc>
          <w:tcPr>
            <w:tcW w:w="1160" w:type="pct"/>
            <w:tcBorders>
              <w:top w:val="single" w:color="auto" w:sz="4" w:space="0"/>
              <w:left w:val="nil"/>
              <w:bottom w:val="single" w:color="auto" w:sz="4" w:space="0"/>
              <w:right w:val="single" w:color="auto" w:sz="4" w:space="0"/>
            </w:tcBorders>
            <w:vAlign w:val="center"/>
          </w:tcPr>
          <w:p w14:paraId="68257D22">
            <w:pPr>
              <w:ind w:left="0"/>
              <w:jc w:val="center"/>
              <w:rPr>
                <w:rFonts w:cs="宋体"/>
                <w:color w:val="000000"/>
                <w:sz w:val="22"/>
                <w:szCs w:val="22"/>
              </w:rPr>
            </w:pPr>
            <w:r>
              <w:rPr>
                <w:rFonts w:hint="eastAsia"/>
                <w:color w:val="000000"/>
                <w:sz w:val="22"/>
                <w:szCs w:val="22"/>
              </w:rPr>
              <w:t>593.55</w:t>
            </w:r>
          </w:p>
        </w:tc>
        <w:tc>
          <w:tcPr>
            <w:tcW w:w="1007" w:type="pct"/>
            <w:tcBorders>
              <w:top w:val="single" w:color="auto" w:sz="4" w:space="0"/>
              <w:left w:val="nil"/>
              <w:bottom w:val="single" w:color="auto" w:sz="4" w:space="0"/>
              <w:right w:val="single" w:color="auto" w:sz="4" w:space="0"/>
            </w:tcBorders>
            <w:vAlign w:val="center"/>
          </w:tcPr>
          <w:p w14:paraId="013E67A2">
            <w:pPr>
              <w:ind w:left="0"/>
              <w:jc w:val="center"/>
              <w:rPr>
                <w:rFonts w:cs="宋体"/>
                <w:color w:val="000000"/>
                <w:sz w:val="22"/>
                <w:szCs w:val="22"/>
              </w:rPr>
            </w:pPr>
            <w:r>
              <w:rPr>
                <w:rFonts w:hint="eastAsia"/>
                <w:color w:val="000000"/>
                <w:sz w:val="22"/>
                <w:szCs w:val="22"/>
              </w:rPr>
              <w:t>-0.10</w:t>
            </w:r>
          </w:p>
        </w:tc>
        <w:tc>
          <w:tcPr>
            <w:tcW w:w="1205" w:type="pct"/>
            <w:tcBorders>
              <w:top w:val="single" w:color="auto" w:sz="4" w:space="0"/>
              <w:left w:val="nil"/>
              <w:bottom w:val="single" w:color="auto" w:sz="4" w:space="0"/>
              <w:right w:val="single" w:color="auto" w:sz="4" w:space="0"/>
            </w:tcBorders>
            <w:vAlign w:val="center"/>
          </w:tcPr>
          <w:p w14:paraId="521A6301">
            <w:pPr>
              <w:ind w:left="0"/>
              <w:jc w:val="center"/>
              <w:rPr>
                <w:rFonts w:cs="宋体"/>
                <w:color w:val="000000"/>
                <w:sz w:val="22"/>
                <w:szCs w:val="22"/>
              </w:rPr>
            </w:pPr>
            <w:r>
              <w:rPr>
                <w:rFonts w:hint="eastAsia"/>
                <w:color w:val="000000"/>
                <w:sz w:val="22"/>
                <w:szCs w:val="22"/>
              </w:rPr>
              <w:t>0.39</w:t>
            </w:r>
          </w:p>
        </w:tc>
      </w:tr>
      <w:tr w14:paraId="0797755F">
        <w:tblPrEx>
          <w:tblCellMar>
            <w:top w:w="0" w:type="dxa"/>
            <w:left w:w="108" w:type="dxa"/>
            <w:bottom w:w="0" w:type="dxa"/>
            <w:right w:w="108" w:type="dxa"/>
          </w:tblCellMar>
        </w:tblPrEx>
        <w:trPr>
          <w:trHeight w:val="280" w:hRule="atLeast"/>
          <w:jc w:val="center"/>
        </w:trPr>
        <w:tc>
          <w:tcPr>
            <w:tcW w:w="650" w:type="pct"/>
            <w:tcBorders>
              <w:top w:val="nil"/>
              <w:left w:val="single" w:color="auto" w:sz="4" w:space="0"/>
              <w:bottom w:val="single" w:color="auto" w:sz="4" w:space="0"/>
              <w:right w:val="single" w:color="auto" w:sz="4" w:space="0"/>
            </w:tcBorders>
            <w:vAlign w:val="center"/>
          </w:tcPr>
          <w:p w14:paraId="2C8258AF">
            <w:pPr>
              <w:ind w:left="0"/>
              <w:jc w:val="center"/>
              <w:rPr>
                <w:rFonts w:cs="宋体"/>
                <w:color w:val="000000"/>
                <w:kern w:val="0"/>
                <w:sz w:val="21"/>
                <w:szCs w:val="21"/>
              </w:rPr>
            </w:pPr>
            <w:r>
              <w:rPr>
                <w:rFonts w:hint="eastAsia" w:cs="宋体"/>
                <w:color w:val="000000"/>
                <w:kern w:val="0"/>
                <w:sz w:val="21"/>
                <w:szCs w:val="21"/>
              </w:rPr>
              <w:t>10</w:t>
            </w:r>
          </w:p>
        </w:tc>
        <w:tc>
          <w:tcPr>
            <w:tcW w:w="978" w:type="pct"/>
            <w:tcBorders>
              <w:top w:val="single" w:color="auto" w:sz="4" w:space="0"/>
              <w:left w:val="nil"/>
              <w:bottom w:val="single" w:color="auto" w:sz="4" w:space="0"/>
              <w:right w:val="single" w:color="auto" w:sz="4" w:space="0"/>
            </w:tcBorders>
            <w:vAlign w:val="center"/>
          </w:tcPr>
          <w:p w14:paraId="1F90EC2C">
            <w:pPr>
              <w:ind w:left="0"/>
              <w:jc w:val="center"/>
              <w:rPr>
                <w:rFonts w:cs="宋体"/>
                <w:color w:val="000000"/>
                <w:sz w:val="22"/>
                <w:szCs w:val="22"/>
              </w:rPr>
            </w:pPr>
            <w:r>
              <w:rPr>
                <w:rFonts w:hint="eastAsia"/>
                <w:color w:val="000000"/>
                <w:sz w:val="22"/>
                <w:szCs w:val="22"/>
              </w:rPr>
              <w:t>665.6</w:t>
            </w:r>
          </w:p>
        </w:tc>
        <w:tc>
          <w:tcPr>
            <w:tcW w:w="1160" w:type="pct"/>
            <w:tcBorders>
              <w:top w:val="single" w:color="auto" w:sz="4" w:space="0"/>
              <w:left w:val="nil"/>
              <w:bottom w:val="single" w:color="auto" w:sz="4" w:space="0"/>
              <w:right w:val="single" w:color="auto" w:sz="4" w:space="0"/>
            </w:tcBorders>
            <w:vAlign w:val="center"/>
          </w:tcPr>
          <w:p w14:paraId="15C1091D">
            <w:pPr>
              <w:ind w:left="0"/>
              <w:jc w:val="center"/>
              <w:rPr>
                <w:rFonts w:cs="宋体"/>
                <w:color w:val="000000"/>
                <w:sz w:val="22"/>
                <w:szCs w:val="22"/>
              </w:rPr>
            </w:pPr>
            <w:r>
              <w:rPr>
                <w:rFonts w:hint="eastAsia"/>
                <w:color w:val="000000"/>
                <w:sz w:val="22"/>
                <w:szCs w:val="22"/>
              </w:rPr>
              <w:t>665.45</w:t>
            </w:r>
          </w:p>
        </w:tc>
        <w:tc>
          <w:tcPr>
            <w:tcW w:w="1007" w:type="pct"/>
            <w:tcBorders>
              <w:top w:val="single" w:color="auto" w:sz="4" w:space="0"/>
              <w:left w:val="nil"/>
              <w:bottom w:val="single" w:color="auto" w:sz="4" w:space="0"/>
              <w:right w:val="single" w:color="auto" w:sz="4" w:space="0"/>
            </w:tcBorders>
            <w:vAlign w:val="center"/>
          </w:tcPr>
          <w:p w14:paraId="298748B2">
            <w:pPr>
              <w:ind w:left="0"/>
              <w:jc w:val="center"/>
              <w:rPr>
                <w:rFonts w:cs="宋体"/>
                <w:color w:val="000000"/>
                <w:sz w:val="22"/>
                <w:szCs w:val="22"/>
              </w:rPr>
            </w:pPr>
            <w:r>
              <w:rPr>
                <w:rFonts w:hint="eastAsia"/>
                <w:color w:val="000000"/>
                <w:sz w:val="22"/>
                <w:szCs w:val="22"/>
              </w:rPr>
              <w:t>-0.15</w:t>
            </w:r>
          </w:p>
        </w:tc>
        <w:tc>
          <w:tcPr>
            <w:tcW w:w="1205" w:type="pct"/>
            <w:tcBorders>
              <w:top w:val="single" w:color="auto" w:sz="4" w:space="0"/>
              <w:left w:val="nil"/>
              <w:bottom w:val="single" w:color="auto" w:sz="4" w:space="0"/>
              <w:right w:val="single" w:color="auto" w:sz="4" w:space="0"/>
            </w:tcBorders>
            <w:vAlign w:val="center"/>
          </w:tcPr>
          <w:p w14:paraId="45FCA01E">
            <w:pPr>
              <w:ind w:left="0"/>
              <w:jc w:val="center"/>
              <w:rPr>
                <w:rFonts w:cs="宋体"/>
                <w:color w:val="000000"/>
                <w:sz w:val="22"/>
                <w:szCs w:val="22"/>
              </w:rPr>
            </w:pPr>
            <w:r>
              <w:rPr>
                <w:rFonts w:hint="eastAsia"/>
                <w:color w:val="000000"/>
                <w:sz w:val="22"/>
                <w:szCs w:val="22"/>
              </w:rPr>
              <w:t>0.43</w:t>
            </w:r>
          </w:p>
        </w:tc>
      </w:tr>
      <w:tr w14:paraId="2F429BC1">
        <w:tblPrEx>
          <w:tblCellMar>
            <w:top w:w="0" w:type="dxa"/>
            <w:left w:w="108" w:type="dxa"/>
            <w:bottom w:w="0" w:type="dxa"/>
            <w:right w:w="108" w:type="dxa"/>
          </w:tblCellMar>
        </w:tblPrEx>
        <w:trPr>
          <w:trHeight w:val="280" w:hRule="atLeast"/>
          <w:jc w:val="center"/>
        </w:trPr>
        <w:tc>
          <w:tcPr>
            <w:tcW w:w="650" w:type="pct"/>
            <w:tcBorders>
              <w:top w:val="nil"/>
              <w:left w:val="single" w:color="auto" w:sz="4" w:space="0"/>
              <w:bottom w:val="single" w:color="auto" w:sz="4" w:space="0"/>
              <w:right w:val="single" w:color="auto" w:sz="4" w:space="0"/>
            </w:tcBorders>
            <w:vAlign w:val="center"/>
          </w:tcPr>
          <w:p w14:paraId="587E6227">
            <w:pPr>
              <w:ind w:left="0"/>
              <w:jc w:val="center"/>
              <w:rPr>
                <w:rFonts w:cs="宋体"/>
                <w:color w:val="000000"/>
                <w:kern w:val="0"/>
                <w:sz w:val="21"/>
                <w:szCs w:val="21"/>
              </w:rPr>
            </w:pPr>
            <w:r>
              <w:rPr>
                <w:rFonts w:hint="eastAsia" w:cs="宋体"/>
                <w:color w:val="000000"/>
                <w:kern w:val="0"/>
                <w:sz w:val="21"/>
                <w:szCs w:val="21"/>
              </w:rPr>
              <w:t>11</w:t>
            </w:r>
          </w:p>
        </w:tc>
        <w:tc>
          <w:tcPr>
            <w:tcW w:w="978" w:type="pct"/>
            <w:tcBorders>
              <w:top w:val="single" w:color="auto" w:sz="4" w:space="0"/>
              <w:left w:val="nil"/>
              <w:bottom w:val="single" w:color="auto" w:sz="4" w:space="0"/>
              <w:right w:val="single" w:color="auto" w:sz="4" w:space="0"/>
            </w:tcBorders>
            <w:vAlign w:val="center"/>
          </w:tcPr>
          <w:p w14:paraId="03884531">
            <w:pPr>
              <w:ind w:left="0"/>
              <w:jc w:val="center"/>
              <w:rPr>
                <w:rFonts w:cs="宋体"/>
                <w:color w:val="000000"/>
                <w:sz w:val="22"/>
                <w:szCs w:val="22"/>
              </w:rPr>
            </w:pPr>
            <w:r>
              <w:rPr>
                <w:rFonts w:hint="eastAsia"/>
                <w:color w:val="000000"/>
                <w:sz w:val="22"/>
                <w:szCs w:val="22"/>
              </w:rPr>
              <w:t>737.45</w:t>
            </w:r>
          </w:p>
        </w:tc>
        <w:tc>
          <w:tcPr>
            <w:tcW w:w="1160" w:type="pct"/>
            <w:tcBorders>
              <w:top w:val="single" w:color="auto" w:sz="4" w:space="0"/>
              <w:left w:val="nil"/>
              <w:bottom w:val="single" w:color="auto" w:sz="4" w:space="0"/>
              <w:right w:val="single" w:color="auto" w:sz="4" w:space="0"/>
            </w:tcBorders>
            <w:vAlign w:val="center"/>
          </w:tcPr>
          <w:p w14:paraId="1DD3262B">
            <w:pPr>
              <w:ind w:left="0"/>
              <w:jc w:val="center"/>
              <w:rPr>
                <w:rFonts w:cs="宋体"/>
                <w:color w:val="000000"/>
                <w:sz w:val="22"/>
                <w:szCs w:val="22"/>
              </w:rPr>
            </w:pPr>
            <w:r>
              <w:rPr>
                <w:rFonts w:hint="eastAsia"/>
                <w:color w:val="000000"/>
                <w:sz w:val="22"/>
                <w:szCs w:val="22"/>
              </w:rPr>
              <w:t>737.50</w:t>
            </w:r>
          </w:p>
        </w:tc>
        <w:tc>
          <w:tcPr>
            <w:tcW w:w="1007" w:type="pct"/>
            <w:tcBorders>
              <w:top w:val="single" w:color="auto" w:sz="4" w:space="0"/>
              <w:left w:val="nil"/>
              <w:bottom w:val="single" w:color="auto" w:sz="4" w:space="0"/>
              <w:right w:val="single" w:color="auto" w:sz="4" w:space="0"/>
            </w:tcBorders>
            <w:vAlign w:val="center"/>
          </w:tcPr>
          <w:p w14:paraId="486C1065">
            <w:pPr>
              <w:ind w:left="0"/>
              <w:jc w:val="center"/>
              <w:rPr>
                <w:rFonts w:cs="宋体"/>
                <w:color w:val="000000"/>
                <w:sz w:val="22"/>
                <w:szCs w:val="22"/>
              </w:rPr>
            </w:pPr>
            <w:r>
              <w:rPr>
                <w:rFonts w:hint="eastAsia"/>
                <w:color w:val="000000"/>
                <w:sz w:val="22"/>
                <w:szCs w:val="22"/>
              </w:rPr>
              <w:t>0.05</w:t>
            </w:r>
          </w:p>
        </w:tc>
        <w:tc>
          <w:tcPr>
            <w:tcW w:w="1205" w:type="pct"/>
            <w:tcBorders>
              <w:top w:val="single" w:color="auto" w:sz="4" w:space="0"/>
              <w:left w:val="nil"/>
              <w:bottom w:val="single" w:color="auto" w:sz="4" w:space="0"/>
              <w:right w:val="single" w:color="auto" w:sz="4" w:space="0"/>
            </w:tcBorders>
            <w:vAlign w:val="center"/>
          </w:tcPr>
          <w:p w14:paraId="74BDC52F">
            <w:pPr>
              <w:ind w:left="0"/>
              <w:jc w:val="center"/>
              <w:rPr>
                <w:rFonts w:cs="宋体"/>
                <w:color w:val="000000"/>
                <w:sz w:val="22"/>
                <w:szCs w:val="22"/>
              </w:rPr>
            </w:pPr>
            <w:r>
              <w:rPr>
                <w:rFonts w:hint="eastAsia"/>
                <w:color w:val="000000"/>
                <w:sz w:val="22"/>
                <w:szCs w:val="22"/>
              </w:rPr>
              <w:t>0.48</w:t>
            </w:r>
          </w:p>
        </w:tc>
      </w:tr>
      <w:tr w14:paraId="4F9FBA19">
        <w:tblPrEx>
          <w:tblCellMar>
            <w:top w:w="0" w:type="dxa"/>
            <w:left w:w="108" w:type="dxa"/>
            <w:bottom w:w="0" w:type="dxa"/>
            <w:right w:w="108" w:type="dxa"/>
          </w:tblCellMar>
        </w:tblPrEx>
        <w:trPr>
          <w:trHeight w:val="280" w:hRule="atLeast"/>
          <w:jc w:val="center"/>
        </w:trPr>
        <w:tc>
          <w:tcPr>
            <w:tcW w:w="650" w:type="pct"/>
            <w:tcBorders>
              <w:top w:val="nil"/>
              <w:left w:val="single" w:color="auto" w:sz="4" w:space="0"/>
              <w:bottom w:val="single" w:color="auto" w:sz="4" w:space="0"/>
              <w:right w:val="single" w:color="auto" w:sz="4" w:space="0"/>
            </w:tcBorders>
            <w:vAlign w:val="center"/>
          </w:tcPr>
          <w:p w14:paraId="295E025F">
            <w:pPr>
              <w:ind w:left="0"/>
              <w:jc w:val="center"/>
              <w:rPr>
                <w:rFonts w:cs="宋体"/>
                <w:color w:val="000000"/>
                <w:kern w:val="0"/>
                <w:sz w:val="21"/>
                <w:szCs w:val="21"/>
              </w:rPr>
            </w:pPr>
            <w:r>
              <w:rPr>
                <w:rFonts w:hint="eastAsia" w:cs="宋体"/>
                <w:color w:val="000000"/>
                <w:kern w:val="0"/>
                <w:sz w:val="21"/>
                <w:szCs w:val="21"/>
              </w:rPr>
              <w:t>12</w:t>
            </w:r>
          </w:p>
        </w:tc>
        <w:tc>
          <w:tcPr>
            <w:tcW w:w="978" w:type="pct"/>
            <w:tcBorders>
              <w:top w:val="single" w:color="auto" w:sz="4" w:space="0"/>
              <w:left w:val="nil"/>
              <w:bottom w:val="single" w:color="auto" w:sz="4" w:space="0"/>
              <w:right w:val="single" w:color="auto" w:sz="4" w:space="0"/>
            </w:tcBorders>
            <w:vAlign w:val="center"/>
          </w:tcPr>
          <w:p w14:paraId="168DC663">
            <w:pPr>
              <w:ind w:left="0"/>
              <w:jc w:val="center"/>
              <w:rPr>
                <w:rFonts w:cs="宋体"/>
                <w:color w:val="000000"/>
                <w:sz w:val="22"/>
                <w:szCs w:val="22"/>
              </w:rPr>
            </w:pPr>
            <w:r>
              <w:rPr>
                <w:rFonts w:hint="eastAsia"/>
                <w:color w:val="000000"/>
                <w:sz w:val="22"/>
                <w:szCs w:val="22"/>
              </w:rPr>
              <w:t>809.65</w:t>
            </w:r>
          </w:p>
        </w:tc>
        <w:tc>
          <w:tcPr>
            <w:tcW w:w="1160" w:type="pct"/>
            <w:tcBorders>
              <w:top w:val="single" w:color="auto" w:sz="4" w:space="0"/>
              <w:left w:val="nil"/>
              <w:bottom w:val="single" w:color="auto" w:sz="4" w:space="0"/>
              <w:right w:val="single" w:color="auto" w:sz="4" w:space="0"/>
            </w:tcBorders>
            <w:vAlign w:val="center"/>
          </w:tcPr>
          <w:p w14:paraId="58008F91">
            <w:pPr>
              <w:ind w:left="0"/>
              <w:jc w:val="center"/>
              <w:rPr>
                <w:rFonts w:cs="宋体"/>
                <w:color w:val="000000"/>
                <w:sz w:val="22"/>
                <w:szCs w:val="22"/>
              </w:rPr>
            </w:pPr>
            <w:r>
              <w:rPr>
                <w:rFonts w:hint="eastAsia"/>
                <w:color w:val="000000"/>
                <w:sz w:val="22"/>
                <w:szCs w:val="22"/>
              </w:rPr>
              <w:t>809.60</w:t>
            </w:r>
          </w:p>
        </w:tc>
        <w:tc>
          <w:tcPr>
            <w:tcW w:w="1007" w:type="pct"/>
            <w:tcBorders>
              <w:top w:val="single" w:color="auto" w:sz="4" w:space="0"/>
              <w:left w:val="nil"/>
              <w:bottom w:val="single" w:color="auto" w:sz="4" w:space="0"/>
              <w:right w:val="single" w:color="auto" w:sz="4" w:space="0"/>
            </w:tcBorders>
            <w:vAlign w:val="center"/>
          </w:tcPr>
          <w:p w14:paraId="28909215">
            <w:pPr>
              <w:ind w:left="0"/>
              <w:jc w:val="center"/>
              <w:rPr>
                <w:rFonts w:cs="宋体"/>
                <w:color w:val="000000"/>
                <w:sz w:val="22"/>
                <w:szCs w:val="22"/>
              </w:rPr>
            </w:pPr>
            <w:r>
              <w:rPr>
                <w:rFonts w:hint="eastAsia"/>
                <w:color w:val="000000"/>
                <w:sz w:val="22"/>
                <w:szCs w:val="22"/>
              </w:rPr>
              <w:t>-0.05</w:t>
            </w:r>
          </w:p>
        </w:tc>
        <w:tc>
          <w:tcPr>
            <w:tcW w:w="1205" w:type="pct"/>
            <w:tcBorders>
              <w:top w:val="single" w:color="auto" w:sz="4" w:space="0"/>
              <w:left w:val="nil"/>
              <w:bottom w:val="single" w:color="auto" w:sz="4" w:space="0"/>
              <w:right w:val="single" w:color="auto" w:sz="4" w:space="0"/>
            </w:tcBorders>
            <w:vAlign w:val="center"/>
          </w:tcPr>
          <w:p w14:paraId="4D40F264">
            <w:pPr>
              <w:ind w:left="0"/>
              <w:jc w:val="center"/>
              <w:rPr>
                <w:rFonts w:cs="宋体"/>
                <w:color w:val="000000"/>
                <w:sz w:val="22"/>
                <w:szCs w:val="22"/>
              </w:rPr>
            </w:pPr>
            <w:r>
              <w:rPr>
                <w:rFonts w:hint="eastAsia"/>
                <w:color w:val="000000"/>
                <w:sz w:val="22"/>
                <w:szCs w:val="22"/>
              </w:rPr>
              <w:t>0.54</w:t>
            </w:r>
          </w:p>
        </w:tc>
      </w:tr>
      <w:tr w14:paraId="6755F002">
        <w:tblPrEx>
          <w:tblCellMar>
            <w:top w:w="0" w:type="dxa"/>
            <w:left w:w="108" w:type="dxa"/>
            <w:bottom w:w="0" w:type="dxa"/>
            <w:right w:w="108" w:type="dxa"/>
          </w:tblCellMar>
        </w:tblPrEx>
        <w:trPr>
          <w:trHeight w:val="280" w:hRule="atLeast"/>
          <w:jc w:val="center"/>
        </w:trPr>
        <w:tc>
          <w:tcPr>
            <w:tcW w:w="650" w:type="pct"/>
            <w:tcBorders>
              <w:top w:val="nil"/>
              <w:left w:val="single" w:color="auto" w:sz="4" w:space="0"/>
              <w:bottom w:val="single" w:color="auto" w:sz="4" w:space="0"/>
              <w:right w:val="single" w:color="auto" w:sz="4" w:space="0"/>
            </w:tcBorders>
            <w:vAlign w:val="center"/>
          </w:tcPr>
          <w:p w14:paraId="3DB32DC5">
            <w:pPr>
              <w:ind w:left="0"/>
              <w:jc w:val="center"/>
              <w:rPr>
                <w:rFonts w:cs="宋体"/>
                <w:color w:val="000000"/>
                <w:kern w:val="0"/>
                <w:sz w:val="21"/>
                <w:szCs w:val="21"/>
              </w:rPr>
            </w:pPr>
            <w:r>
              <w:rPr>
                <w:rFonts w:hint="eastAsia" w:cs="宋体"/>
                <w:color w:val="000000"/>
                <w:kern w:val="0"/>
                <w:sz w:val="21"/>
                <w:szCs w:val="21"/>
              </w:rPr>
              <w:t>13</w:t>
            </w:r>
          </w:p>
        </w:tc>
        <w:tc>
          <w:tcPr>
            <w:tcW w:w="978" w:type="pct"/>
            <w:tcBorders>
              <w:top w:val="single" w:color="auto" w:sz="4" w:space="0"/>
              <w:left w:val="nil"/>
              <w:bottom w:val="single" w:color="auto" w:sz="4" w:space="0"/>
              <w:right w:val="single" w:color="auto" w:sz="4" w:space="0"/>
            </w:tcBorders>
            <w:vAlign w:val="center"/>
          </w:tcPr>
          <w:p w14:paraId="1DEFAC7F">
            <w:pPr>
              <w:ind w:left="0"/>
              <w:jc w:val="center"/>
              <w:rPr>
                <w:rFonts w:cs="宋体"/>
                <w:color w:val="000000"/>
                <w:sz w:val="22"/>
                <w:szCs w:val="22"/>
              </w:rPr>
            </w:pPr>
            <w:r>
              <w:rPr>
                <w:rFonts w:hint="eastAsia"/>
                <w:color w:val="000000"/>
                <w:sz w:val="22"/>
                <w:szCs w:val="22"/>
              </w:rPr>
              <w:t>881.95</w:t>
            </w:r>
          </w:p>
        </w:tc>
        <w:tc>
          <w:tcPr>
            <w:tcW w:w="1160" w:type="pct"/>
            <w:tcBorders>
              <w:top w:val="single" w:color="auto" w:sz="4" w:space="0"/>
              <w:left w:val="nil"/>
              <w:bottom w:val="single" w:color="auto" w:sz="4" w:space="0"/>
              <w:right w:val="single" w:color="auto" w:sz="4" w:space="0"/>
            </w:tcBorders>
            <w:vAlign w:val="center"/>
          </w:tcPr>
          <w:p w14:paraId="0EB93405">
            <w:pPr>
              <w:ind w:left="0"/>
              <w:jc w:val="center"/>
              <w:rPr>
                <w:rFonts w:cs="宋体"/>
                <w:color w:val="000000"/>
                <w:sz w:val="22"/>
                <w:szCs w:val="22"/>
              </w:rPr>
            </w:pPr>
            <w:r>
              <w:rPr>
                <w:rFonts w:hint="eastAsia"/>
                <w:color w:val="000000"/>
                <w:sz w:val="22"/>
                <w:szCs w:val="22"/>
              </w:rPr>
              <w:t>881.85</w:t>
            </w:r>
          </w:p>
        </w:tc>
        <w:tc>
          <w:tcPr>
            <w:tcW w:w="1007" w:type="pct"/>
            <w:tcBorders>
              <w:top w:val="single" w:color="auto" w:sz="4" w:space="0"/>
              <w:left w:val="nil"/>
              <w:bottom w:val="single" w:color="auto" w:sz="4" w:space="0"/>
              <w:right w:val="single" w:color="auto" w:sz="4" w:space="0"/>
            </w:tcBorders>
            <w:vAlign w:val="center"/>
          </w:tcPr>
          <w:p w14:paraId="720D59E9">
            <w:pPr>
              <w:ind w:left="0"/>
              <w:jc w:val="center"/>
              <w:rPr>
                <w:rFonts w:cs="宋体"/>
                <w:color w:val="000000"/>
                <w:sz w:val="22"/>
                <w:szCs w:val="22"/>
              </w:rPr>
            </w:pPr>
            <w:r>
              <w:rPr>
                <w:rFonts w:hint="eastAsia"/>
                <w:color w:val="000000"/>
                <w:sz w:val="22"/>
                <w:szCs w:val="22"/>
              </w:rPr>
              <w:t>-0.10</w:t>
            </w:r>
          </w:p>
        </w:tc>
        <w:tc>
          <w:tcPr>
            <w:tcW w:w="1205" w:type="pct"/>
            <w:tcBorders>
              <w:top w:val="single" w:color="auto" w:sz="4" w:space="0"/>
              <w:left w:val="nil"/>
              <w:bottom w:val="single" w:color="auto" w:sz="4" w:space="0"/>
              <w:right w:val="single" w:color="auto" w:sz="4" w:space="0"/>
            </w:tcBorders>
            <w:vAlign w:val="center"/>
          </w:tcPr>
          <w:p w14:paraId="053F4565">
            <w:pPr>
              <w:ind w:left="0"/>
              <w:jc w:val="center"/>
              <w:rPr>
                <w:rFonts w:cs="宋体"/>
                <w:color w:val="000000"/>
                <w:sz w:val="22"/>
                <w:szCs w:val="22"/>
              </w:rPr>
            </w:pPr>
            <w:r>
              <w:rPr>
                <w:rFonts w:hint="eastAsia"/>
                <w:color w:val="000000"/>
                <w:sz w:val="22"/>
                <w:szCs w:val="22"/>
              </w:rPr>
              <w:t>0.59</w:t>
            </w:r>
          </w:p>
        </w:tc>
      </w:tr>
      <w:tr w14:paraId="27F11DAC">
        <w:tblPrEx>
          <w:tblCellMar>
            <w:top w:w="0" w:type="dxa"/>
            <w:left w:w="108" w:type="dxa"/>
            <w:bottom w:w="0" w:type="dxa"/>
            <w:right w:w="108" w:type="dxa"/>
          </w:tblCellMar>
        </w:tblPrEx>
        <w:trPr>
          <w:trHeight w:val="280" w:hRule="atLeast"/>
          <w:jc w:val="center"/>
        </w:trPr>
        <w:tc>
          <w:tcPr>
            <w:tcW w:w="650" w:type="pct"/>
            <w:tcBorders>
              <w:top w:val="nil"/>
              <w:left w:val="single" w:color="auto" w:sz="4" w:space="0"/>
              <w:bottom w:val="single" w:color="auto" w:sz="4" w:space="0"/>
              <w:right w:val="single" w:color="auto" w:sz="4" w:space="0"/>
            </w:tcBorders>
            <w:vAlign w:val="center"/>
          </w:tcPr>
          <w:p w14:paraId="66E55F08">
            <w:pPr>
              <w:ind w:left="0"/>
              <w:jc w:val="center"/>
              <w:rPr>
                <w:rFonts w:cs="宋体"/>
                <w:color w:val="000000"/>
                <w:kern w:val="0"/>
                <w:sz w:val="21"/>
                <w:szCs w:val="21"/>
              </w:rPr>
            </w:pPr>
            <w:r>
              <w:rPr>
                <w:rFonts w:hint="eastAsia" w:cs="宋体"/>
                <w:color w:val="000000"/>
                <w:kern w:val="0"/>
                <w:sz w:val="21"/>
                <w:szCs w:val="21"/>
              </w:rPr>
              <w:t>14</w:t>
            </w:r>
          </w:p>
        </w:tc>
        <w:tc>
          <w:tcPr>
            <w:tcW w:w="978" w:type="pct"/>
            <w:tcBorders>
              <w:top w:val="single" w:color="auto" w:sz="4" w:space="0"/>
              <w:left w:val="nil"/>
              <w:bottom w:val="single" w:color="auto" w:sz="4" w:space="0"/>
              <w:right w:val="single" w:color="auto" w:sz="4" w:space="0"/>
            </w:tcBorders>
            <w:vAlign w:val="center"/>
          </w:tcPr>
          <w:p w14:paraId="087B9BBD">
            <w:pPr>
              <w:ind w:left="0"/>
              <w:jc w:val="center"/>
              <w:rPr>
                <w:rFonts w:cs="宋体"/>
                <w:color w:val="000000"/>
                <w:sz w:val="22"/>
                <w:szCs w:val="22"/>
              </w:rPr>
            </w:pPr>
            <w:r>
              <w:rPr>
                <w:rFonts w:hint="eastAsia"/>
                <w:color w:val="000000"/>
                <w:sz w:val="22"/>
                <w:szCs w:val="22"/>
              </w:rPr>
              <w:t>953.85</w:t>
            </w:r>
          </w:p>
        </w:tc>
        <w:tc>
          <w:tcPr>
            <w:tcW w:w="1160" w:type="pct"/>
            <w:tcBorders>
              <w:top w:val="single" w:color="auto" w:sz="4" w:space="0"/>
              <w:left w:val="nil"/>
              <w:bottom w:val="single" w:color="auto" w:sz="4" w:space="0"/>
              <w:right w:val="single" w:color="auto" w:sz="4" w:space="0"/>
            </w:tcBorders>
            <w:vAlign w:val="center"/>
          </w:tcPr>
          <w:p w14:paraId="09124F5F">
            <w:pPr>
              <w:ind w:left="0"/>
              <w:jc w:val="center"/>
              <w:rPr>
                <w:rFonts w:cs="宋体"/>
                <w:color w:val="000000"/>
                <w:sz w:val="22"/>
                <w:szCs w:val="22"/>
              </w:rPr>
            </w:pPr>
            <w:r>
              <w:rPr>
                <w:rFonts w:hint="eastAsia"/>
                <w:color w:val="000000"/>
                <w:sz w:val="22"/>
                <w:szCs w:val="22"/>
              </w:rPr>
              <w:t>953.70</w:t>
            </w:r>
          </w:p>
        </w:tc>
        <w:tc>
          <w:tcPr>
            <w:tcW w:w="1007" w:type="pct"/>
            <w:tcBorders>
              <w:top w:val="single" w:color="auto" w:sz="4" w:space="0"/>
              <w:left w:val="nil"/>
              <w:bottom w:val="single" w:color="auto" w:sz="4" w:space="0"/>
              <w:right w:val="single" w:color="auto" w:sz="4" w:space="0"/>
            </w:tcBorders>
            <w:vAlign w:val="center"/>
          </w:tcPr>
          <w:p w14:paraId="1E7B9B59">
            <w:pPr>
              <w:ind w:left="0"/>
              <w:jc w:val="center"/>
              <w:rPr>
                <w:rFonts w:cs="宋体"/>
                <w:color w:val="000000"/>
                <w:sz w:val="22"/>
                <w:szCs w:val="22"/>
              </w:rPr>
            </w:pPr>
            <w:r>
              <w:rPr>
                <w:rFonts w:hint="eastAsia"/>
                <w:color w:val="000000"/>
                <w:sz w:val="22"/>
                <w:szCs w:val="22"/>
              </w:rPr>
              <w:t>-0.15</w:t>
            </w:r>
          </w:p>
        </w:tc>
        <w:tc>
          <w:tcPr>
            <w:tcW w:w="1205" w:type="pct"/>
            <w:tcBorders>
              <w:top w:val="single" w:color="auto" w:sz="4" w:space="0"/>
              <w:left w:val="nil"/>
              <w:bottom w:val="single" w:color="auto" w:sz="4" w:space="0"/>
              <w:right w:val="single" w:color="auto" w:sz="4" w:space="0"/>
            </w:tcBorders>
            <w:vAlign w:val="center"/>
          </w:tcPr>
          <w:p w14:paraId="070362C7">
            <w:pPr>
              <w:ind w:left="0"/>
              <w:jc w:val="center"/>
              <w:rPr>
                <w:rFonts w:cs="宋体"/>
                <w:color w:val="000000"/>
                <w:sz w:val="22"/>
                <w:szCs w:val="22"/>
              </w:rPr>
            </w:pPr>
            <w:r>
              <w:rPr>
                <w:rFonts w:hint="eastAsia"/>
                <w:color w:val="000000"/>
                <w:sz w:val="22"/>
                <w:szCs w:val="22"/>
              </w:rPr>
              <w:t>0.65</w:t>
            </w:r>
          </w:p>
        </w:tc>
      </w:tr>
    </w:tbl>
    <w:p w14:paraId="680C1DDB">
      <w:pPr>
        <w:ind w:left="0"/>
        <w:rPr>
          <w:bCs/>
        </w:rPr>
      </w:pPr>
    </w:p>
    <w:p w14:paraId="33E25A9D">
      <w:pPr>
        <w:ind w:left="0"/>
        <w:rPr>
          <w:bCs/>
        </w:rPr>
      </w:pPr>
    </w:p>
    <w:p w14:paraId="0DBAFCC6">
      <w:pPr>
        <w:ind w:left="0"/>
        <w:rPr>
          <w:bCs/>
        </w:rPr>
      </w:pPr>
    </w:p>
    <w:p w14:paraId="597FF332">
      <w:pPr>
        <w:ind w:left="0"/>
        <w:jc w:val="center"/>
        <w:rPr>
          <w:bCs/>
        </w:rPr>
        <w:sectPr>
          <w:pgSz w:w="11906" w:h="16838"/>
          <w:pgMar w:top="1440" w:right="1134" w:bottom="1440" w:left="1134" w:header="851" w:footer="992" w:gutter="0"/>
          <w:cols w:space="720" w:num="1"/>
          <w:docGrid w:type="linesAndChars" w:linePitch="312" w:charSpace="0"/>
        </w:sectPr>
      </w:pPr>
    </w:p>
    <w:p w14:paraId="1CA1B901">
      <w:pPr>
        <w:ind w:left="0"/>
        <w:jc w:val="center"/>
        <w:rPr>
          <w:bCs/>
        </w:rPr>
      </w:pPr>
      <w:r>
        <w:rPr>
          <w:rFonts w:hint="eastAsia"/>
          <w:bCs/>
        </w:rPr>
        <w:t>表A.2 不确定度计算汇总表</w:t>
      </w:r>
    </w:p>
    <w:tbl>
      <w:tblPr>
        <w:tblStyle w:val="21"/>
        <w:tblW w:w="4999" w:type="pct"/>
        <w:tblInd w:w="0" w:type="dxa"/>
        <w:tblLayout w:type="autofit"/>
        <w:tblCellMar>
          <w:top w:w="0" w:type="dxa"/>
          <w:left w:w="108" w:type="dxa"/>
          <w:bottom w:w="0" w:type="dxa"/>
          <w:right w:w="108" w:type="dxa"/>
        </w:tblCellMar>
      </w:tblPr>
      <w:tblGrid>
        <w:gridCol w:w="2880"/>
        <w:gridCol w:w="974"/>
        <w:gridCol w:w="436"/>
        <w:gridCol w:w="1206"/>
        <w:gridCol w:w="1206"/>
        <w:gridCol w:w="1206"/>
        <w:gridCol w:w="1206"/>
        <w:gridCol w:w="1206"/>
        <w:gridCol w:w="1206"/>
        <w:gridCol w:w="1206"/>
        <w:gridCol w:w="1223"/>
      </w:tblGrid>
      <w:tr w14:paraId="3BD1D4FC">
        <w:tblPrEx>
          <w:tblCellMar>
            <w:top w:w="0" w:type="dxa"/>
            <w:left w:w="108" w:type="dxa"/>
            <w:bottom w:w="0" w:type="dxa"/>
            <w:right w:w="108" w:type="dxa"/>
          </w:tblCellMar>
        </w:tblPrEx>
        <w:trPr>
          <w:trHeight w:val="440" w:hRule="atLeast"/>
        </w:trPr>
        <w:tc>
          <w:tcPr>
            <w:tcW w:w="1537" w:type="pct"/>
            <w:gridSpan w:val="3"/>
            <w:tcBorders>
              <w:top w:val="single" w:color="auto" w:sz="4" w:space="0"/>
              <w:left w:val="single" w:color="auto" w:sz="4" w:space="0"/>
              <w:bottom w:val="single" w:color="auto" w:sz="4" w:space="0"/>
              <w:right w:val="single" w:color="auto" w:sz="4" w:space="0"/>
            </w:tcBorders>
            <w:noWrap/>
            <w:vAlign w:val="center"/>
          </w:tcPr>
          <w:p w14:paraId="03432E2A">
            <w:pPr>
              <w:ind w:left="0"/>
              <w:jc w:val="center"/>
              <w:rPr>
                <w:rFonts w:hint="eastAsia" w:ascii="宋体" w:hAnsi="宋体" w:cs="宋体"/>
                <w:color w:val="000000"/>
                <w:kern w:val="0"/>
                <w:sz w:val="22"/>
                <w:szCs w:val="22"/>
              </w:rPr>
            </w:pPr>
            <w:r>
              <w:rPr>
                <w:rFonts w:hint="eastAsia" w:ascii="宋体" w:hAnsi="宋体" w:cs="宋体"/>
                <w:color w:val="000000"/>
                <w:kern w:val="0"/>
                <w:sz w:val="22"/>
                <w:szCs w:val="22"/>
              </w:rPr>
              <w:t>不确定度影响分量</w:t>
            </w:r>
          </w:p>
        </w:tc>
        <w:tc>
          <w:tcPr>
            <w:tcW w:w="3462" w:type="pct"/>
            <w:gridSpan w:val="8"/>
            <w:tcBorders>
              <w:top w:val="single" w:color="auto" w:sz="4" w:space="0"/>
              <w:left w:val="nil"/>
              <w:bottom w:val="single" w:color="auto" w:sz="4" w:space="0"/>
              <w:right w:val="single" w:color="auto" w:sz="4" w:space="0"/>
            </w:tcBorders>
            <w:vAlign w:val="center"/>
          </w:tcPr>
          <w:p w14:paraId="434EA9B8">
            <w:pPr>
              <w:ind w:left="0"/>
              <w:jc w:val="center"/>
              <w:rPr>
                <w:color w:val="000000"/>
                <w:kern w:val="0"/>
                <w:sz w:val="22"/>
                <w:szCs w:val="22"/>
              </w:rPr>
            </w:pPr>
            <w:r>
              <w:rPr>
                <w:rFonts w:hint="eastAsia" w:ascii="宋体" w:hAnsi="宋体"/>
                <w:color w:val="000000"/>
                <w:kern w:val="0"/>
                <w:sz w:val="22"/>
                <w:szCs w:val="22"/>
              </w:rPr>
              <w:t>载荷、显示值、误差、不确定度</w:t>
            </w:r>
            <w:r>
              <w:rPr>
                <w:color w:val="000000"/>
                <w:kern w:val="0"/>
                <w:sz w:val="22"/>
                <w:szCs w:val="22"/>
              </w:rPr>
              <w:t>/</w:t>
            </w:r>
            <w:r>
              <w:rPr>
                <w:rFonts w:hint="eastAsia"/>
                <w:color w:val="000000"/>
                <w:kern w:val="0"/>
                <w:sz w:val="22"/>
                <w:szCs w:val="22"/>
              </w:rPr>
              <w:t>k</w:t>
            </w:r>
            <w:r>
              <w:rPr>
                <w:color w:val="000000"/>
                <w:kern w:val="0"/>
                <w:sz w:val="22"/>
                <w:szCs w:val="22"/>
              </w:rPr>
              <w:t>g</w:t>
            </w:r>
          </w:p>
        </w:tc>
      </w:tr>
      <w:tr w14:paraId="5E1A8CEC">
        <w:tblPrEx>
          <w:tblCellMar>
            <w:top w:w="0" w:type="dxa"/>
            <w:left w:w="108" w:type="dxa"/>
            <w:bottom w:w="0" w:type="dxa"/>
            <w:right w:w="108" w:type="dxa"/>
          </w:tblCellMar>
        </w:tblPrEx>
        <w:trPr>
          <w:trHeight w:val="440" w:hRule="atLeast"/>
        </w:trPr>
        <w:tc>
          <w:tcPr>
            <w:tcW w:w="1032" w:type="pct"/>
            <w:tcBorders>
              <w:top w:val="nil"/>
              <w:left w:val="single" w:color="auto" w:sz="4" w:space="0"/>
              <w:bottom w:val="single" w:color="auto" w:sz="4" w:space="0"/>
              <w:right w:val="single" w:color="auto" w:sz="4" w:space="0"/>
            </w:tcBorders>
            <w:noWrap/>
            <w:vAlign w:val="center"/>
          </w:tcPr>
          <w:p w14:paraId="7BE4898E">
            <w:pPr>
              <w:ind w:left="0"/>
              <w:jc w:val="center"/>
              <w:rPr>
                <w:rFonts w:hint="eastAsia" w:ascii="宋体" w:hAnsi="宋体" w:cs="宋体"/>
                <w:color w:val="000000"/>
                <w:kern w:val="0"/>
                <w:sz w:val="22"/>
                <w:szCs w:val="22"/>
              </w:rPr>
            </w:pPr>
            <w:r>
              <w:rPr>
                <w:rFonts w:hint="eastAsia" w:ascii="宋体" w:hAnsi="宋体" w:cs="宋体"/>
                <w:color w:val="000000"/>
                <w:kern w:val="0"/>
                <w:sz w:val="22"/>
                <w:szCs w:val="22"/>
              </w:rPr>
              <w:t>试验载荷</w:t>
            </w:r>
          </w:p>
        </w:tc>
        <w:tc>
          <w:tcPr>
            <w:tcW w:w="349" w:type="pct"/>
            <w:tcBorders>
              <w:top w:val="nil"/>
              <w:left w:val="nil"/>
              <w:bottom w:val="single" w:color="auto" w:sz="4" w:space="0"/>
              <w:right w:val="single" w:color="auto" w:sz="4" w:space="0"/>
            </w:tcBorders>
            <w:noWrap/>
            <w:vAlign w:val="center"/>
          </w:tcPr>
          <w:p w14:paraId="097E0DC4">
            <w:pPr>
              <w:ind w:left="0"/>
              <w:jc w:val="center"/>
              <w:rPr>
                <w:color w:val="000000"/>
                <w:kern w:val="0"/>
                <w:sz w:val="22"/>
                <w:szCs w:val="22"/>
              </w:rPr>
            </w:pPr>
            <w:r>
              <w:rPr>
                <w:i/>
                <w:iCs/>
                <w:color w:val="000000"/>
                <w:kern w:val="0"/>
                <w:sz w:val="22"/>
                <w:szCs w:val="22"/>
              </w:rPr>
              <w:t>L</w:t>
            </w:r>
            <w:r>
              <w:rPr>
                <w:color w:val="000000"/>
                <w:kern w:val="0"/>
                <w:sz w:val="22"/>
                <w:szCs w:val="22"/>
                <w:vertAlign w:val="subscript"/>
              </w:rPr>
              <w:t>T</w:t>
            </w:r>
          </w:p>
        </w:tc>
        <w:tc>
          <w:tcPr>
            <w:tcW w:w="155" w:type="pct"/>
            <w:tcBorders>
              <w:top w:val="nil"/>
              <w:left w:val="nil"/>
              <w:bottom w:val="single" w:color="auto" w:sz="4" w:space="0"/>
              <w:right w:val="single" w:color="auto" w:sz="4" w:space="0"/>
            </w:tcBorders>
            <w:noWrap/>
            <w:vAlign w:val="center"/>
          </w:tcPr>
          <w:p w14:paraId="43E2D160">
            <w:pPr>
              <w:ind w:left="0"/>
              <w:jc w:val="center"/>
              <w:rPr>
                <w:color w:val="000000"/>
                <w:kern w:val="0"/>
                <w:sz w:val="22"/>
                <w:szCs w:val="22"/>
              </w:rPr>
            </w:pPr>
            <w:r>
              <w:rPr>
                <w:color w:val="000000"/>
                <w:kern w:val="0"/>
                <w:sz w:val="22"/>
                <w:szCs w:val="22"/>
              </w:rPr>
              <w:t>kg</w:t>
            </w:r>
          </w:p>
        </w:tc>
        <w:tc>
          <w:tcPr>
            <w:tcW w:w="432" w:type="pct"/>
            <w:tcBorders>
              <w:top w:val="nil"/>
              <w:left w:val="nil"/>
              <w:bottom w:val="single" w:color="auto" w:sz="4" w:space="0"/>
              <w:right w:val="single" w:color="auto" w:sz="4" w:space="0"/>
            </w:tcBorders>
            <w:noWrap/>
            <w:vAlign w:val="center"/>
          </w:tcPr>
          <w:p w14:paraId="6F871A0D">
            <w:pPr>
              <w:ind w:left="0"/>
              <w:jc w:val="center"/>
              <w:rPr>
                <w:color w:val="000000"/>
                <w:kern w:val="0"/>
                <w:sz w:val="22"/>
                <w:szCs w:val="22"/>
              </w:rPr>
            </w:pPr>
            <w:r>
              <w:rPr>
                <w:color w:val="000000"/>
                <w:kern w:val="0"/>
                <w:sz w:val="22"/>
                <w:szCs w:val="22"/>
              </w:rPr>
              <w:t>13.5</w:t>
            </w:r>
          </w:p>
        </w:tc>
        <w:tc>
          <w:tcPr>
            <w:tcW w:w="432" w:type="pct"/>
            <w:tcBorders>
              <w:top w:val="nil"/>
              <w:left w:val="nil"/>
              <w:bottom w:val="single" w:color="auto" w:sz="4" w:space="0"/>
              <w:right w:val="single" w:color="auto" w:sz="4" w:space="0"/>
            </w:tcBorders>
            <w:noWrap/>
            <w:vAlign w:val="center"/>
          </w:tcPr>
          <w:p w14:paraId="2CFF5E2F">
            <w:pPr>
              <w:ind w:left="0"/>
              <w:jc w:val="center"/>
              <w:rPr>
                <w:color w:val="000000"/>
                <w:kern w:val="0"/>
                <w:sz w:val="22"/>
                <w:szCs w:val="22"/>
              </w:rPr>
            </w:pPr>
            <w:r>
              <w:rPr>
                <w:color w:val="000000"/>
                <w:kern w:val="0"/>
                <w:sz w:val="22"/>
                <w:szCs w:val="22"/>
              </w:rPr>
              <w:t>88.5</w:t>
            </w:r>
          </w:p>
        </w:tc>
        <w:tc>
          <w:tcPr>
            <w:tcW w:w="432" w:type="pct"/>
            <w:tcBorders>
              <w:top w:val="nil"/>
              <w:left w:val="nil"/>
              <w:bottom w:val="single" w:color="auto" w:sz="4" w:space="0"/>
              <w:right w:val="single" w:color="auto" w:sz="4" w:space="0"/>
            </w:tcBorders>
            <w:noWrap/>
            <w:vAlign w:val="center"/>
          </w:tcPr>
          <w:p w14:paraId="5BCCF57B">
            <w:pPr>
              <w:ind w:left="0"/>
              <w:jc w:val="center"/>
              <w:rPr>
                <w:color w:val="000000"/>
                <w:kern w:val="0"/>
                <w:sz w:val="22"/>
                <w:szCs w:val="22"/>
              </w:rPr>
            </w:pPr>
            <w:r>
              <w:rPr>
                <w:color w:val="000000"/>
                <w:kern w:val="0"/>
                <w:sz w:val="22"/>
                <w:szCs w:val="22"/>
              </w:rPr>
              <w:t>160.85</w:t>
            </w:r>
          </w:p>
        </w:tc>
        <w:tc>
          <w:tcPr>
            <w:tcW w:w="432" w:type="pct"/>
            <w:tcBorders>
              <w:top w:val="single" w:color="auto" w:sz="4" w:space="0"/>
              <w:left w:val="nil"/>
              <w:bottom w:val="single" w:color="auto" w:sz="4" w:space="0"/>
              <w:right w:val="single" w:color="auto" w:sz="4" w:space="0"/>
            </w:tcBorders>
            <w:vAlign w:val="center"/>
          </w:tcPr>
          <w:p w14:paraId="60F269AA">
            <w:pPr>
              <w:ind w:left="0"/>
              <w:jc w:val="center"/>
              <w:rPr>
                <w:color w:val="000000"/>
                <w:kern w:val="0"/>
                <w:sz w:val="22"/>
                <w:szCs w:val="22"/>
              </w:rPr>
            </w:pPr>
            <w:bookmarkStart w:id="170" w:name="OLE_LINK312"/>
            <w:r>
              <w:rPr>
                <w:color w:val="000000"/>
                <w:kern w:val="0"/>
                <w:sz w:val="22"/>
                <w:szCs w:val="22"/>
              </w:rPr>
              <w:t>······</w:t>
            </w:r>
            <w:bookmarkEnd w:id="170"/>
          </w:p>
        </w:tc>
        <w:tc>
          <w:tcPr>
            <w:tcW w:w="432" w:type="pct"/>
            <w:tcBorders>
              <w:top w:val="single" w:color="auto" w:sz="4" w:space="0"/>
              <w:left w:val="single" w:color="auto" w:sz="4" w:space="0"/>
              <w:bottom w:val="single" w:color="auto" w:sz="4" w:space="0"/>
              <w:right w:val="single" w:color="auto" w:sz="4" w:space="0"/>
            </w:tcBorders>
            <w:noWrap/>
            <w:vAlign w:val="center"/>
          </w:tcPr>
          <w:p w14:paraId="4ECC93DF">
            <w:pPr>
              <w:ind w:left="0"/>
              <w:jc w:val="center"/>
              <w:rPr>
                <w:color w:val="000000"/>
                <w:kern w:val="0"/>
                <w:sz w:val="22"/>
                <w:szCs w:val="22"/>
              </w:rPr>
            </w:pPr>
            <w:r>
              <w:rPr>
                <w:color w:val="000000"/>
                <w:kern w:val="0"/>
                <w:sz w:val="22"/>
                <w:szCs w:val="22"/>
              </w:rPr>
              <w:t>737.45</w:t>
            </w:r>
          </w:p>
        </w:tc>
        <w:tc>
          <w:tcPr>
            <w:tcW w:w="432" w:type="pct"/>
            <w:tcBorders>
              <w:top w:val="nil"/>
              <w:left w:val="nil"/>
              <w:bottom w:val="single" w:color="auto" w:sz="4" w:space="0"/>
              <w:right w:val="single" w:color="auto" w:sz="4" w:space="0"/>
            </w:tcBorders>
            <w:noWrap/>
            <w:vAlign w:val="center"/>
          </w:tcPr>
          <w:p w14:paraId="1951A82F">
            <w:pPr>
              <w:ind w:left="0"/>
              <w:jc w:val="center"/>
              <w:rPr>
                <w:color w:val="000000"/>
                <w:kern w:val="0"/>
                <w:sz w:val="22"/>
                <w:szCs w:val="22"/>
              </w:rPr>
            </w:pPr>
            <w:r>
              <w:rPr>
                <w:color w:val="000000"/>
                <w:kern w:val="0"/>
                <w:sz w:val="22"/>
                <w:szCs w:val="22"/>
              </w:rPr>
              <w:t>809.65</w:t>
            </w:r>
          </w:p>
        </w:tc>
        <w:tc>
          <w:tcPr>
            <w:tcW w:w="432" w:type="pct"/>
            <w:tcBorders>
              <w:top w:val="nil"/>
              <w:left w:val="nil"/>
              <w:bottom w:val="single" w:color="auto" w:sz="4" w:space="0"/>
              <w:right w:val="single" w:color="auto" w:sz="4" w:space="0"/>
            </w:tcBorders>
            <w:noWrap/>
            <w:vAlign w:val="center"/>
          </w:tcPr>
          <w:p w14:paraId="6CADC234">
            <w:pPr>
              <w:ind w:left="0"/>
              <w:jc w:val="center"/>
              <w:rPr>
                <w:color w:val="000000"/>
                <w:kern w:val="0"/>
                <w:sz w:val="22"/>
                <w:szCs w:val="22"/>
              </w:rPr>
            </w:pPr>
            <w:r>
              <w:rPr>
                <w:color w:val="000000"/>
                <w:kern w:val="0"/>
                <w:sz w:val="22"/>
                <w:szCs w:val="22"/>
              </w:rPr>
              <w:t>881.95</w:t>
            </w:r>
          </w:p>
        </w:tc>
        <w:tc>
          <w:tcPr>
            <w:tcW w:w="433" w:type="pct"/>
            <w:tcBorders>
              <w:top w:val="nil"/>
              <w:left w:val="nil"/>
              <w:bottom w:val="single" w:color="auto" w:sz="4" w:space="0"/>
              <w:right w:val="single" w:color="auto" w:sz="4" w:space="0"/>
            </w:tcBorders>
            <w:noWrap/>
            <w:vAlign w:val="center"/>
          </w:tcPr>
          <w:p w14:paraId="61002865">
            <w:pPr>
              <w:ind w:left="0"/>
              <w:jc w:val="center"/>
              <w:rPr>
                <w:color w:val="000000"/>
                <w:kern w:val="0"/>
                <w:sz w:val="22"/>
                <w:szCs w:val="22"/>
              </w:rPr>
            </w:pPr>
            <w:r>
              <w:rPr>
                <w:color w:val="000000"/>
                <w:kern w:val="0"/>
                <w:sz w:val="22"/>
                <w:szCs w:val="22"/>
              </w:rPr>
              <w:t>953.85</w:t>
            </w:r>
          </w:p>
        </w:tc>
      </w:tr>
      <w:tr w14:paraId="424FCD04">
        <w:tblPrEx>
          <w:tblCellMar>
            <w:top w:w="0" w:type="dxa"/>
            <w:left w:w="108" w:type="dxa"/>
            <w:bottom w:w="0" w:type="dxa"/>
            <w:right w:w="108" w:type="dxa"/>
          </w:tblCellMar>
        </w:tblPrEx>
        <w:trPr>
          <w:trHeight w:val="440" w:hRule="atLeast"/>
        </w:trPr>
        <w:tc>
          <w:tcPr>
            <w:tcW w:w="1032" w:type="pct"/>
            <w:tcBorders>
              <w:top w:val="nil"/>
              <w:left w:val="single" w:color="auto" w:sz="4" w:space="0"/>
              <w:bottom w:val="single" w:color="auto" w:sz="4" w:space="0"/>
              <w:right w:val="single" w:color="auto" w:sz="4" w:space="0"/>
            </w:tcBorders>
            <w:noWrap/>
            <w:vAlign w:val="center"/>
          </w:tcPr>
          <w:p w14:paraId="3B9D1898">
            <w:pPr>
              <w:ind w:left="0"/>
              <w:jc w:val="center"/>
              <w:rPr>
                <w:rFonts w:hint="eastAsia" w:ascii="宋体" w:hAnsi="宋体" w:cs="宋体"/>
                <w:color w:val="000000"/>
                <w:kern w:val="0"/>
                <w:sz w:val="22"/>
                <w:szCs w:val="22"/>
              </w:rPr>
            </w:pPr>
            <w:r>
              <w:rPr>
                <w:rFonts w:hint="eastAsia" w:ascii="宋体" w:hAnsi="宋体" w:cs="宋体"/>
                <w:color w:val="000000"/>
                <w:kern w:val="0"/>
                <w:sz w:val="22"/>
                <w:szCs w:val="22"/>
              </w:rPr>
              <w:t>示值</w:t>
            </w:r>
          </w:p>
        </w:tc>
        <w:tc>
          <w:tcPr>
            <w:tcW w:w="349" w:type="pct"/>
            <w:tcBorders>
              <w:top w:val="nil"/>
              <w:left w:val="nil"/>
              <w:bottom w:val="single" w:color="auto" w:sz="4" w:space="0"/>
              <w:right w:val="single" w:color="auto" w:sz="4" w:space="0"/>
            </w:tcBorders>
            <w:noWrap/>
            <w:vAlign w:val="center"/>
          </w:tcPr>
          <w:p w14:paraId="14C5576A">
            <w:pPr>
              <w:ind w:left="0"/>
              <w:jc w:val="center"/>
              <w:rPr>
                <w:i/>
                <w:iCs/>
                <w:color w:val="000000"/>
                <w:kern w:val="0"/>
                <w:sz w:val="22"/>
                <w:szCs w:val="22"/>
              </w:rPr>
            </w:pPr>
            <w:r>
              <w:rPr>
                <w:i/>
                <w:iCs/>
                <w:color w:val="000000"/>
                <w:kern w:val="0"/>
                <w:sz w:val="22"/>
                <w:szCs w:val="22"/>
              </w:rPr>
              <w:t>I</w:t>
            </w:r>
          </w:p>
        </w:tc>
        <w:tc>
          <w:tcPr>
            <w:tcW w:w="155" w:type="pct"/>
            <w:tcBorders>
              <w:top w:val="nil"/>
              <w:left w:val="nil"/>
              <w:bottom w:val="single" w:color="auto" w:sz="4" w:space="0"/>
              <w:right w:val="single" w:color="auto" w:sz="4" w:space="0"/>
            </w:tcBorders>
            <w:noWrap/>
            <w:vAlign w:val="center"/>
          </w:tcPr>
          <w:p w14:paraId="71B728F7">
            <w:pPr>
              <w:ind w:left="0"/>
              <w:jc w:val="center"/>
              <w:rPr>
                <w:color w:val="000000"/>
                <w:kern w:val="0"/>
                <w:sz w:val="22"/>
                <w:szCs w:val="22"/>
              </w:rPr>
            </w:pPr>
            <w:r>
              <w:rPr>
                <w:color w:val="000000"/>
                <w:kern w:val="0"/>
                <w:sz w:val="22"/>
                <w:szCs w:val="22"/>
              </w:rPr>
              <w:t>kg</w:t>
            </w:r>
          </w:p>
        </w:tc>
        <w:tc>
          <w:tcPr>
            <w:tcW w:w="432" w:type="pct"/>
            <w:tcBorders>
              <w:top w:val="nil"/>
              <w:left w:val="nil"/>
              <w:bottom w:val="single" w:color="auto" w:sz="4" w:space="0"/>
              <w:right w:val="single" w:color="auto" w:sz="4" w:space="0"/>
            </w:tcBorders>
            <w:noWrap/>
            <w:vAlign w:val="center"/>
          </w:tcPr>
          <w:p w14:paraId="1AAB730F">
            <w:pPr>
              <w:ind w:left="0"/>
              <w:jc w:val="center"/>
              <w:rPr>
                <w:color w:val="000000"/>
                <w:kern w:val="0"/>
                <w:sz w:val="22"/>
                <w:szCs w:val="22"/>
              </w:rPr>
            </w:pPr>
            <w:r>
              <w:rPr>
                <w:color w:val="000000"/>
                <w:kern w:val="0"/>
                <w:sz w:val="22"/>
                <w:szCs w:val="22"/>
              </w:rPr>
              <w:t>13.50</w:t>
            </w:r>
          </w:p>
        </w:tc>
        <w:tc>
          <w:tcPr>
            <w:tcW w:w="432" w:type="pct"/>
            <w:tcBorders>
              <w:top w:val="nil"/>
              <w:left w:val="nil"/>
              <w:bottom w:val="single" w:color="auto" w:sz="4" w:space="0"/>
              <w:right w:val="single" w:color="auto" w:sz="4" w:space="0"/>
            </w:tcBorders>
            <w:noWrap/>
            <w:vAlign w:val="center"/>
          </w:tcPr>
          <w:p w14:paraId="3E69CC82">
            <w:pPr>
              <w:ind w:left="0"/>
              <w:jc w:val="center"/>
              <w:rPr>
                <w:color w:val="000000"/>
                <w:kern w:val="0"/>
                <w:sz w:val="22"/>
                <w:szCs w:val="22"/>
              </w:rPr>
            </w:pPr>
            <w:r>
              <w:rPr>
                <w:color w:val="000000"/>
                <w:kern w:val="0"/>
                <w:sz w:val="22"/>
                <w:szCs w:val="22"/>
              </w:rPr>
              <w:t>88.50</w:t>
            </w:r>
          </w:p>
        </w:tc>
        <w:tc>
          <w:tcPr>
            <w:tcW w:w="432" w:type="pct"/>
            <w:tcBorders>
              <w:top w:val="nil"/>
              <w:left w:val="nil"/>
              <w:bottom w:val="single" w:color="auto" w:sz="4" w:space="0"/>
              <w:right w:val="single" w:color="auto" w:sz="4" w:space="0"/>
            </w:tcBorders>
            <w:noWrap/>
            <w:vAlign w:val="center"/>
          </w:tcPr>
          <w:p w14:paraId="7BD76AB1">
            <w:pPr>
              <w:ind w:left="0"/>
              <w:jc w:val="center"/>
              <w:rPr>
                <w:color w:val="000000"/>
                <w:kern w:val="0"/>
                <w:sz w:val="22"/>
                <w:szCs w:val="22"/>
              </w:rPr>
            </w:pPr>
            <w:r>
              <w:rPr>
                <w:color w:val="000000"/>
                <w:kern w:val="0"/>
                <w:sz w:val="22"/>
                <w:szCs w:val="22"/>
              </w:rPr>
              <w:t>160.85</w:t>
            </w:r>
          </w:p>
        </w:tc>
        <w:tc>
          <w:tcPr>
            <w:tcW w:w="432" w:type="pct"/>
            <w:tcBorders>
              <w:top w:val="single" w:color="auto" w:sz="4" w:space="0"/>
              <w:left w:val="nil"/>
              <w:bottom w:val="single" w:color="auto" w:sz="4" w:space="0"/>
              <w:right w:val="single" w:color="auto" w:sz="4" w:space="0"/>
            </w:tcBorders>
            <w:vAlign w:val="center"/>
          </w:tcPr>
          <w:p w14:paraId="122515D8">
            <w:pPr>
              <w:ind w:left="0"/>
              <w:jc w:val="center"/>
              <w:rPr>
                <w:color w:val="000000"/>
                <w:kern w:val="0"/>
                <w:sz w:val="22"/>
                <w:szCs w:val="22"/>
              </w:rPr>
            </w:pPr>
            <w:r>
              <w:rPr>
                <w:color w:val="000000"/>
                <w:kern w:val="0"/>
                <w:sz w:val="22"/>
                <w:szCs w:val="22"/>
              </w:rPr>
              <w:t>······</w:t>
            </w:r>
          </w:p>
        </w:tc>
        <w:tc>
          <w:tcPr>
            <w:tcW w:w="432" w:type="pct"/>
            <w:tcBorders>
              <w:top w:val="single" w:color="auto" w:sz="4" w:space="0"/>
              <w:left w:val="single" w:color="auto" w:sz="4" w:space="0"/>
              <w:bottom w:val="single" w:color="auto" w:sz="4" w:space="0"/>
              <w:right w:val="single" w:color="auto" w:sz="4" w:space="0"/>
            </w:tcBorders>
            <w:noWrap/>
            <w:vAlign w:val="center"/>
          </w:tcPr>
          <w:p w14:paraId="33C3B797">
            <w:pPr>
              <w:ind w:left="0"/>
              <w:jc w:val="center"/>
              <w:rPr>
                <w:color w:val="000000"/>
                <w:kern w:val="0"/>
                <w:sz w:val="22"/>
                <w:szCs w:val="22"/>
              </w:rPr>
            </w:pPr>
            <w:r>
              <w:rPr>
                <w:color w:val="000000"/>
                <w:kern w:val="0"/>
                <w:sz w:val="22"/>
                <w:szCs w:val="22"/>
              </w:rPr>
              <w:t>737.50</w:t>
            </w:r>
          </w:p>
        </w:tc>
        <w:tc>
          <w:tcPr>
            <w:tcW w:w="432" w:type="pct"/>
            <w:tcBorders>
              <w:top w:val="nil"/>
              <w:left w:val="nil"/>
              <w:bottom w:val="single" w:color="auto" w:sz="4" w:space="0"/>
              <w:right w:val="single" w:color="auto" w:sz="4" w:space="0"/>
            </w:tcBorders>
            <w:noWrap/>
            <w:vAlign w:val="center"/>
          </w:tcPr>
          <w:p w14:paraId="7666F791">
            <w:pPr>
              <w:ind w:left="0"/>
              <w:jc w:val="center"/>
              <w:rPr>
                <w:color w:val="000000"/>
                <w:kern w:val="0"/>
                <w:sz w:val="22"/>
                <w:szCs w:val="22"/>
              </w:rPr>
            </w:pPr>
            <w:r>
              <w:rPr>
                <w:color w:val="000000"/>
                <w:kern w:val="0"/>
                <w:sz w:val="22"/>
                <w:szCs w:val="22"/>
              </w:rPr>
              <w:t>809.60</w:t>
            </w:r>
          </w:p>
        </w:tc>
        <w:tc>
          <w:tcPr>
            <w:tcW w:w="432" w:type="pct"/>
            <w:tcBorders>
              <w:top w:val="nil"/>
              <w:left w:val="nil"/>
              <w:bottom w:val="single" w:color="auto" w:sz="4" w:space="0"/>
              <w:right w:val="single" w:color="auto" w:sz="4" w:space="0"/>
            </w:tcBorders>
            <w:noWrap/>
            <w:vAlign w:val="center"/>
          </w:tcPr>
          <w:p w14:paraId="67345C1A">
            <w:pPr>
              <w:ind w:left="0"/>
              <w:jc w:val="center"/>
              <w:rPr>
                <w:color w:val="000000"/>
                <w:kern w:val="0"/>
                <w:sz w:val="22"/>
                <w:szCs w:val="22"/>
              </w:rPr>
            </w:pPr>
            <w:r>
              <w:rPr>
                <w:color w:val="000000"/>
                <w:kern w:val="0"/>
                <w:sz w:val="22"/>
                <w:szCs w:val="22"/>
              </w:rPr>
              <w:t>881.85</w:t>
            </w:r>
          </w:p>
        </w:tc>
        <w:tc>
          <w:tcPr>
            <w:tcW w:w="433" w:type="pct"/>
            <w:tcBorders>
              <w:top w:val="nil"/>
              <w:left w:val="nil"/>
              <w:bottom w:val="single" w:color="auto" w:sz="4" w:space="0"/>
              <w:right w:val="single" w:color="auto" w:sz="4" w:space="0"/>
            </w:tcBorders>
            <w:noWrap/>
            <w:vAlign w:val="center"/>
          </w:tcPr>
          <w:p w14:paraId="5EBE36F9">
            <w:pPr>
              <w:ind w:left="0"/>
              <w:jc w:val="center"/>
              <w:rPr>
                <w:color w:val="000000"/>
                <w:kern w:val="0"/>
                <w:sz w:val="22"/>
                <w:szCs w:val="22"/>
              </w:rPr>
            </w:pPr>
            <w:r>
              <w:rPr>
                <w:color w:val="000000"/>
                <w:kern w:val="0"/>
                <w:sz w:val="22"/>
                <w:szCs w:val="22"/>
              </w:rPr>
              <w:t>953.70</w:t>
            </w:r>
          </w:p>
        </w:tc>
      </w:tr>
      <w:tr w14:paraId="0020307B">
        <w:tblPrEx>
          <w:tblCellMar>
            <w:top w:w="0" w:type="dxa"/>
            <w:left w:w="108" w:type="dxa"/>
            <w:bottom w:w="0" w:type="dxa"/>
            <w:right w:w="108" w:type="dxa"/>
          </w:tblCellMar>
        </w:tblPrEx>
        <w:trPr>
          <w:trHeight w:val="440" w:hRule="atLeast"/>
        </w:trPr>
        <w:tc>
          <w:tcPr>
            <w:tcW w:w="1032" w:type="pct"/>
            <w:tcBorders>
              <w:top w:val="nil"/>
              <w:left w:val="single" w:color="auto" w:sz="4" w:space="0"/>
              <w:bottom w:val="single" w:color="auto" w:sz="4" w:space="0"/>
              <w:right w:val="single" w:color="auto" w:sz="4" w:space="0"/>
            </w:tcBorders>
            <w:noWrap/>
            <w:vAlign w:val="center"/>
          </w:tcPr>
          <w:p w14:paraId="0A78F523">
            <w:pPr>
              <w:ind w:left="0"/>
              <w:jc w:val="center"/>
              <w:rPr>
                <w:rFonts w:hint="eastAsia" w:ascii="宋体" w:hAnsi="宋体" w:cs="宋体"/>
                <w:color w:val="000000"/>
                <w:kern w:val="0"/>
                <w:sz w:val="22"/>
                <w:szCs w:val="22"/>
              </w:rPr>
            </w:pPr>
            <w:r>
              <w:rPr>
                <w:rFonts w:hint="eastAsia" w:ascii="宋体" w:hAnsi="宋体" w:cs="宋体"/>
                <w:color w:val="000000"/>
                <w:kern w:val="0"/>
                <w:sz w:val="22"/>
                <w:szCs w:val="22"/>
              </w:rPr>
              <w:t>示值误差</w:t>
            </w:r>
          </w:p>
        </w:tc>
        <w:tc>
          <w:tcPr>
            <w:tcW w:w="349" w:type="pct"/>
            <w:tcBorders>
              <w:top w:val="nil"/>
              <w:left w:val="nil"/>
              <w:bottom w:val="single" w:color="auto" w:sz="4" w:space="0"/>
              <w:right w:val="single" w:color="auto" w:sz="4" w:space="0"/>
            </w:tcBorders>
            <w:noWrap/>
            <w:vAlign w:val="center"/>
          </w:tcPr>
          <w:p w14:paraId="5D60FBA8">
            <w:pPr>
              <w:ind w:left="0"/>
              <w:jc w:val="center"/>
              <w:rPr>
                <w:i/>
                <w:iCs/>
                <w:color w:val="000000"/>
                <w:kern w:val="0"/>
                <w:sz w:val="22"/>
                <w:szCs w:val="22"/>
              </w:rPr>
            </w:pPr>
            <w:r>
              <w:rPr>
                <w:i/>
                <w:iCs/>
                <w:color w:val="000000"/>
                <w:kern w:val="0"/>
                <w:sz w:val="22"/>
                <w:szCs w:val="22"/>
              </w:rPr>
              <w:t>E</w:t>
            </w:r>
          </w:p>
        </w:tc>
        <w:tc>
          <w:tcPr>
            <w:tcW w:w="155" w:type="pct"/>
            <w:tcBorders>
              <w:top w:val="nil"/>
              <w:left w:val="nil"/>
              <w:bottom w:val="single" w:color="auto" w:sz="4" w:space="0"/>
              <w:right w:val="single" w:color="auto" w:sz="4" w:space="0"/>
            </w:tcBorders>
            <w:noWrap/>
            <w:vAlign w:val="center"/>
          </w:tcPr>
          <w:p w14:paraId="6CA341DB">
            <w:pPr>
              <w:ind w:left="0"/>
              <w:jc w:val="center"/>
              <w:rPr>
                <w:color w:val="000000"/>
                <w:kern w:val="0"/>
                <w:sz w:val="22"/>
                <w:szCs w:val="22"/>
              </w:rPr>
            </w:pPr>
            <w:r>
              <w:rPr>
                <w:color w:val="000000"/>
                <w:kern w:val="0"/>
                <w:sz w:val="22"/>
                <w:szCs w:val="22"/>
              </w:rPr>
              <w:t>kg</w:t>
            </w:r>
          </w:p>
        </w:tc>
        <w:tc>
          <w:tcPr>
            <w:tcW w:w="432" w:type="pct"/>
            <w:tcBorders>
              <w:top w:val="nil"/>
              <w:left w:val="nil"/>
              <w:bottom w:val="single" w:color="auto" w:sz="4" w:space="0"/>
              <w:right w:val="single" w:color="auto" w:sz="4" w:space="0"/>
            </w:tcBorders>
            <w:noWrap/>
            <w:vAlign w:val="center"/>
          </w:tcPr>
          <w:p w14:paraId="4E2268FE">
            <w:pPr>
              <w:ind w:left="0"/>
              <w:jc w:val="center"/>
              <w:rPr>
                <w:color w:val="000000"/>
                <w:kern w:val="0"/>
                <w:sz w:val="22"/>
                <w:szCs w:val="22"/>
              </w:rPr>
            </w:pPr>
            <w:r>
              <w:rPr>
                <w:color w:val="000000"/>
                <w:kern w:val="0"/>
                <w:sz w:val="22"/>
                <w:szCs w:val="22"/>
              </w:rPr>
              <w:t>0.00</w:t>
            </w:r>
          </w:p>
        </w:tc>
        <w:tc>
          <w:tcPr>
            <w:tcW w:w="432" w:type="pct"/>
            <w:tcBorders>
              <w:top w:val="nil"/>
              <w:left w:val="nil"/>
              <w:bottom w:val="single" w:color="auto" w:sz="4" w:space="0"/>
              <w:right w:val="single" w:color="auto" w:sz="4" w:space="0"/>
            </w:tcBorders>
            <w:noWrap/>
            <w:vAlign w:val="center"/>
          </w:tcPr>
          <w:p w14:paraId="1922AA9F">
            <w:pPr>
              <w:ind w:left="0"/>
              <w:jc w:val="center"/>
              <w:rPr>
                <w:color w:val="000000"/>
                <w:kern w:val="0"/>
                <w:sz w:val="22"/>
                <w:szCs w:val="22"/>
              </w:rPr>
            </w:pPr>
            <w:r>
              <w:rPr>
                <w:color w:val="000000"/>
                <w:kern w:val="0"/>
                <w:sz w:val="22"/>
                <w:szCs w:val="22"/>
              </w:rPr>
              <w:t>0.00</w:t>
            </w:r>
          </w:p>
        </w:tc>
        <w:tc>
          <w:tcPr>
            <w:tcW w:w="432" w:type="pct"/>
            <w:tcBorders>
              <w:top w:val="nil"/>
              <w:left w:val="nil"/>
              <w:bottom w:val="single" w:color="auto" w:sz="4" w:space="0"/>
              <w:right w:val="single" w:color="auto" w:sz="4" w:space="0"/>
            </w:tcBorders>
            <w:noWrap/>
            <w:vAlign w:val="center"/>
          </w:tcPr>
          <w:p w14:paraId="61F86123">
            <w:pPr>
              <w:ind w:left="0"/>
              <w:jc w:val="center"/>
              <w:rPr>
                <w:color w:val="000000"/>
                <w:kern w:val="0"/>
                <w:sz w:val="22"/>
                <w:szCs w:val="22"/>
              </w:rPr>
            </w:pPr>
            <w:r>
              <w:rPr>
                <w:color w:val="000000"/>
                <w:kern w:val="0"/>
                <w:sz w:val="22"/>
                <w:szCs w:val="22"/>
              </w:rPr>
              <w:t>0.00</w:t>
            </w:r>
          </w:p>
        </w:tc>
        <w:tc>
          <w:tcPr>
            <w:tcW w:w="432" w:type="pct"/>
            <w:tcBorders>
              <w:top w:val="single" w:color="auto" w:sz="4" w:space="0"/>
              <w:left w:val="nil"/>
              <w:bottom w:val="single" w:color="auto" w:sz="4" w:space="0"/>
              <w:right w:val="single" w:color="auto" w:sz="4" w:space="0"/>
            </w:tcBorders>
            <w:vAlign w:val="center"/>
          </w:tcPr>
          <w:p w14:paraId="10B37195">
            <w:pPr>
              <w:ind w:left="0"/>
              <w:jc w:val="center"/>
              <w:rPr>
                <w:color w:val="000000"/>
                <w:kern w:val="0"/>
                <w:sz w:val="22"/>
                <w:szCs w:val="22"/>
              </w:rPr>
            </w:pPr>
            <w:r>
              <w:rPr>
                <w:color w:val="000000"/>
                <w:kern w:val="0"/>
                <w:sz w:val="22"/>
                <w:szCs w:val="22"/>
              </w:rPr>
              <w:t>······</w:t>
            </w:r>
          </w:p>
        </w:tc>
        <w:tc>
          <w:tcPr>
            <w:tcW w:w="432" w:type="pct"/>
            <w:tcBorders>
              <w:top w:val="single" w:color="auto" w:sz="4" w:space="0"/>
              <w:left w:val="single" w:color="auto" w:sz="4" w:space="0"/>
              <w:bottom w:val="single" w:color="auto" w:sz="4" w:space="0"/>
              <w:right w:val="single" w:color="auto" w:sz="4" w:space="0"/>
            </w:tcBorders>
            <w:noWrap/>
            <w:vAlign w:val="center"/>
          </w:tcPr>
          <w:p w14:paraId="4F1909E4">
            <w:pPr>
              <w:ind w:left="0"/>
              <w:jc w:val="center"/>
              <w:rPr>
                <w:color w:val="000000"/>
                <w:kern w:val="0"/>
                <w:sz w:val="22"/>
                <w:szCs w:val="22"/>
              </w:rPr>
            </w:pPr>
            <w:r>
              <w:rPr>
                <w:color w:val="000000"/>
                <w:kern w:val="0"/>
                <w:sz w:val="22"/>
                <w:szCs w:val="22"/>
              </w:rPr>
              <w:t>0.05</w:t>
            </w:r>
          </w:p>
        </w:tc>
        <w:tc>
          <w:tcPr>
            <w:tcW w:w="432" w:type="pct"/>
            <w:tcBorders>
              <w:top w:val="nil"/>
              <w:left w:val="nil"/>
              <w:bottom w:val="single" w:color="auto" w:sz="4" w:space="0"/>
              <w:right w:val="single" w:color="auto" w:sz="4" w:space="0"/>
            </w:tcBorders>
            <w:noWrap/>
            <w:vAlign w:val="center"/>
          </w:tcPr>
          <w:p w14:paraId="0E9D427A">
            <w:pPr>
              <w:ind w:left="0"/>
              <w:jc w:val="center"/>
              <w:rPr>
                <w:color w:val="000000"/>
                <w:kern w:val="0"/>
                <w:sz w:val="22"/>
                <w:szCs w:val="22"/>
              </w:rPr>
            </w:pPr>
            <w:r>
              <w:rPr>
                <w:color w:val="000000"/>
                <w:kern w:val="0"/>
                <w:sz w:val="22"/>
                <w:szCs w:val="22"/>
              </w:rPr>
              <w:t>-0.05</w:t>
            </w:r>
          </w:p>
        </w:tc>
        <w:tc>
          <w:tcPr>
            <w:tcW w:w="432" w:type="pct"/>
            <w:tcBorders>
              <w:top w:val="nil"/>
              <w:left w:val="nil"/>
              <w:bottom w:val="single" w:color="auto" w:sz="4" w:space="0"/>
              <w:right w:val="single" w:color="auto" w:sz="4" w:space="0"/>
            </w:tcBorders>
            <w:noWrap/>
            <w:vAlign w:val="center"/>
          </w:tcPr>
          <w:p w14:paraId="420C0335">
            <w:pPr>
              <w:ind w:left="0"/>
              <w:jc w:val="center"/>
              <w:rPr>
                <w:color w:val="000000"/>
                <w:kern w:val="0"/>
                <w:sz w:val="22"/>
                <w:szCs w:val="22"/>
              </w:rPr>
            </w:pPr>
            <w:r>
              <w:rPr>
                <w:color w:val="000000"/>
                <w:kern w:val="0"/>
                <w:sz w:val="22"/>
                <w:szCs w:val="22"/>
              </w:rPr>
              <w:t>-0.10</w:t>
            </w:r>
          </w:p>
        </w:tc>
        <w:tc>
          <w:tcPr>
            <w:tcW w:w="433" w:type="pct"/>
            <w:tcBorders>
              <w:top w:val="nil"/>
              <w:left w:val="nil"/>
              <w:bottom w:val="single" w:color="auto" w:sz="4" w:space="0"/>
              <w:right w:val="single" w:color="auto" w:sz="4" w:space="0"/>
            </w:tcBorders>
            <w:noWrap/>
            <w:vAlign w:val="center"/>
          </w:tcPr>
          <w:p w14:paraId="61E3EDA1">
            <w:pPr>
              <w:ind w:left="0"/>
              <w:jc w:val="center"/>
              <w:rPr>
                <w:color w:val="000000"/>
                <w:kern w:val="0"/>
                <w:sz w:val="22"/>
                <w:szCs w:val="22"/>
              </w:rPr>
            </w:pPr>
            <w:r>
              <w:rPr>
                <w:color w:val="000000"/>
                <w:kern w:val="0"/>
                <w:sz w:val="22"/>
                <w:szCs w:val="22"/>
              </w:rPr>
              <w:t>-0.15</w:t>
            </w:r>
          </w:p>
        </w:tc>
      </w:tr>
      <w:tr w14:paraId="388A9F62">
        <w:tblPrEx>
          <w:tblCellMar>
            <w:top w:w="0" w:type="dxa"/>
            <w:left w:w="108" w:type="dxa"/>
            <w:bottom w:w="0" w:type="dxa"/>
            <w:right w:w="108" w:type="dxa"/>
          </w:tblCellMar>
        </w:tblPrEx>
        <w:trPr>
          <w:trHeight w:val="440" w:hRule="atLeast"/>
        </w:trPr>
        <w:tc>
          <w:tcPr>
            <w:tcW w:w="1032" w:type="pct"/>
            <w:tcBorders>
              <w:top w:val="nil"/>
              <w:left w:val="single" w:color="auto" w:sz="4" w:space="0"/>
              <w:bottom w:val="single" w:color="auto" w:sz="4" w:space="0"/>
              <w:right w:val="single" w:color="auto" w:sz="4" w:space="0"/>
            </w:tcBorders>
            <w:noWrap/>
            <w:vAlign w:val="center"/>
          </w:tcPr>
          <w:p w14:paraId="6DF07CE1">
            <w:pPr>
              <w:ind w:left="0"/>
              <w:jc w:val="center"/>
              <w:rPr>
                <w:rFonts w:hint="eastAsia" w:ascii="宋体" w:hAnsi="宋体" w:cs="宋体"/>
                <w:color w:val="000000"/>
                <w:kern w:val="0"/>
                <w:sz w:val="22"/>
                <w:szCs w:val="22"/>
              </w:rPr>
            </w:pPr>
            <w:r>
              <w:rPr>
                <w:rFonts w:hint="eastAsia" w:ascii="宋体" w:hAnsi="宋体" w:cs="宋体"/>
                <w:color w:val="000000"/>
                <w:kern w:val="0"/>
                <w:sz w:val="22"/>
                <w:szCs w:val="22"/>
              </w:rPr>
              <w:t>分辨力引入</w:t>
            </w:r>
          </w:p>
        </w:tc>
        <w:tc>
          <w:tcPr>
            <w:tcW w:w="349" w:type="pct"/>
            <w:tcBorders>
              <w:top w:val="nil"/>
              <w:left w:val="nil"/>
              <w:bottom w:val="single" w:color="auto" w:sz="4" w:space="0"/>
              <w:right w:val="single" w:color="auto" w:sz="4" w:space="0"/>
            </w:tcBorders>
            <w:noWrap/>
            <w:vAlign w:val="center"/>
          </w:tcPr>
          <w:p w14:paraId="3DF3A54C">
            <w:pPr>
              <w:ind w:left="0"/>
              <w:jc w:val="center"/>
              <w:rPr>
                <w:i/>
                <w:iCs/>
                <w:color w:val="000000"/>
                <w:kern w:val="0"/>
                <w:sz w:val="22"/>
                <w:szCs w:val="22"/>
              </w:rPr>
            </w:pPr>
            <w:r>
              <w:rPr>
                <w:color w:val="000000"/>
                <w:kern w:val="0"/>
                <w:sz w:val="22"/>
                <w:szCs w:val="22"/>
              </w:rPr>
              <w:drawing>
                <wp:anchor distT="0" distB="0" distL="114300" distR="114300" simplePos="0" relativeHeight="251666432" behindDoc="0" locked="0" layoutInCell="1" allowOverlap="1">
                  <wp:simplePos x="0" y="0"/>
                  <wp:positionH relativeFrom="column">
                    <wp:posOffset>-13335</wp:posOffset>
                  </wp:positionH>
                  <wp:positionV relativeFrom="paragraph">
                    <wp:posOffset>902335</wp:posOffset>
                  </wp:positionV>
                  <wp:extent cx="565150" cy="228600"/>
                  <wp:effectExtent l="0" t="0" r="0" b="0"/>
                  <wp:wrapNone/>
                  <wp:docPr id="58"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图片 11"/>
                          <pic:cNvPicPr>
                            <a:picLocks noChangeAspect="1" noChangeArrowheads="1"/>
                          </pic:cNvPicPr>
                        </pic:nvPicPr>
                        <pic:blipFill>
                          <a:blip r:embed="rId88">
                            <a:extLst>
                              <a:ext uri="{28A0092B-C50C-407E-A947-70E740481C1C}">
                                <a14:useLocalDpi xmlns:a14="http://schemas.microsoft.com/office/drawing/2010/main" val="0"/>
                              </a:ext>
                            </a:extLst>
                          </a:blip>
                          <a:srcRect/>
                          <a:stretch>
                            <a:fillRect/>
                          </a:stretch>
                        </pic:blipFill>
                        <pic:spPr>
                          <a:xfrm>
                            <a:off x="0" y="0"/>
                            <a:ext cx="565150" cy="228600"/>
                          </a:xfrm>
                          <a:prstGeom prst="rect">
                            <a:avLst/>
                          </a:prstGeom>
                          <a:noFill/>
                          <a:ln>
                            <a:noFill/>
                          </a:ln>
                        </pic:spPr>
                      </pic:pic>
                    </a:graphicData>
                  </a:graphic>
                </wp:anchor>
              </w:drawing>
            </w:r>
            <w:r>
              <w:rPr>
                <w:color w:val="000000"/>
                <w:kern w:val="0"/>
                <w:sz w:val="22"/>
                <w:szCs w:val="22"/>
              </w:rPr>
              <w:drawing>
                <wp:anchor distT="0" distB="0" distL="114300" distR="114300" simplePos="0" relativeHeight="251663360" behindDoc="0" locked="0" layoutInCell="1" allowOverlap="1">
                  <wp:simplePos x="0" y="0"/>
                  <wp:positionH relativeFrom="column">
                    <wp:posOffset>-6985</wp:posOffset>
                  </wp:positionH>
                  <wp:positionV relativeFrom="paragraph">
                    <wp:posOffset>1232535</wp:posOffset>
                  </wp:positionV>
                  <wp:extent cx="400050" cy="209550"/>
                  <wp:effectExtent l="0" t="0" r="0" b="0"/>
                  <wp:wrapNone/>
                  <wp:docPr id="54"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图片 10"/>
                          <pic:cNvPicPr>
                            <a:picLocks noChangeAspect="1" noChangeArrowheads="1"/>
                          </pic:cNvPicPr>
                        </pic:nvPicPr>
                        <pic:blipFill>
                          <a:blip r:embed="rId89">
                            <a:extLst>
                              <a:ext uri="{28A0092B-C50C-407E-A947-70E740481C1C}">
                                <a14:useLocalDpi xmlns:a14="http://schemas.microsoft.com/office/drawing/2010/main" val="0"/>
                              </a:ext>
                            </a:extLst>
                          </a:blip>
                          <a:srcRect/>
                          <a:stretch>
                            <a:fillRect/>
                          </a:stretch>
                        </pic:blipFill>
                        <pic:spPr>
                          <a:xfrm>
                            <a:off x="0" y="0"/>
                            <a:ext cx="400050" cy="209550"/>
                          </a:xfrm>
                          <a:prstGeom prst="rect">
                            <a:avLst/>
                          </a:prstGeom>
                          <a:noFill/>
                          <a:ln>
                            <a:noFill/>
                          </a:ln>
                        </pic:spPr>
                      </pic:pic>
                    </a:graphicData>
                  </a:graphic>
                </wp:anchor>
              </w:drawing>
            </w:r>
            <w:r>
              <w:rPr>
                <w:rFonts w:ascii="宋体" w:hAnsi="宋体" w:cs="宋体"/>
                <w:color w:val="000000"/>
                <w:kern w:val="0"/>
                <w:sz w:val="22"/>
                <w:szCs w:val="22"/>
              </w:rPr>
              <w:drawing>
                <wp:anchor distT="0" distB="0" distL="114300" distR="114300" simplePos="0" relativeHeight="251669504" behindDoc="0" locked="0" layoutInCell="1" allowOverlap="1">
                  <wp:simplePos x="0" y="0"/>
                  <wp:positionH relativeFrom="column">
                    <wp:posOffset>-45085</wp:posOffset>
                  </wp:positionH>
                  <wp:positionV relativeFrom="paragraph">
                    <wp:posOffset>1467485</wp:posOffset>
                  </wp:positionV>
                  <wp:extent cx="469900" cy="228600"/>
                  <wp:effectExtent l="0" t="0" r="0" b="0"/>
                  <wp:wrapNone/>
                  <wp:docPr id="6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图片 9"/>
                          <pic:cNvPicPr>
                            <a:picLocks noChangeAspect="1" noChangeArrowheads="1"/>
                          </pic:cNvPicPr>
                        </pic:nvPicPr>
                        <pic:blipFill>
                          <a:blip r:embed="rId90">
                            <a:extLst>
                              <a:ext uri="{28A0092B-C50C-407E-A947-70E740481C1C}">
                                <a14:useLocalDpi xmlns:a14="http://schemas.microsoft.com/office/drawing/2010/main" val="0"/>
                              </a:ext>
                            </a:extLst>
                          </a:blip>
                          <a:srcRect/>
                          <a:stretch>
                            <a:fillRect/>
                          </a:stretch>
                        </pic:blipFill>
                        <pic:spPr>
                          <a:xfrm>
                            <a:off x="0" y="0"/>
                            <a:ext cx="469900" cy="228600"/>
                          </a:xfrm>
                          <a:prstGeom prst="rect">
                            <a:avLst/>
                          </a:prstGeom>
                          <a:noFill/>
                          <a:ln>
                            <a:noFill/>
                          </a:ln>
                        </pic:spPr>
                      </pic:pic>
                    </a:graphicData>
                  </a:graphic>
                </wp:anchor>
              </w:drawing>
            </w:r>
            <w:r>
              <w:rPr>
                <w:color w:val="000000"/>
                <w:kern w:val="0"/>
                <w:sz w:val="22"/>
                <w:szCs w:val="22"/>
              </w:rPr>
              <w:drawing>
                <wp:anchor distT="0" distB="0" distL="114300" distR="114300" simplePos="0" relativeHeight="251664384" behindDoc="0" locked="0" layoutInCell="1" allowOverlap="1">
                  <wp:simplePos x="0" y="0"/>
                  <wp:positionH relativeFrom="column">
                    <wp:posOffset>-45085</wp:posOffset>
                  </wp:positionH>
                  <wp:positionV relativeFrom="paragraph">
                    <wp:posOffset>1797685</wp:posOffset>
                  </wp:positionV>
                  <wp:extent cx="469900" cy="228600"/>
                  <wp:effectExtent l="0" t="0" r="0" b="0"/>
                  <wp:wrapNone/>
                  <wp:docPr id="5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图片 8"/>
                          <pic:cNvPicPr>
                            <a:picLocks noChangeAspect="1" noChangeArrowheads="1"/>
                          </pic:cNvPicPr>
                        </pic:nvPicPr>
                        <pic:blipFill>
                          <a:blip r:embed="rId91">
                            <a:extLst>
                              <a:ext uri="{28A0092B-C50C-407E-A947-70E740481C1C}">
                                <a14:useLocalDpi xmlns:a14="http://schemas.microsoft.com/office/drawing/2010/main" val="0"/>
                              </a:ext>
                            </a:extLst>
                          </a:blip>
                          <a:srcRect/>
                          <a:stretch>
                            <a:fillRect/>
                          </a:stretch>
                        </pic:blipFill>
                        <pic:spPr>
                          <a:xfrm>
                            <a:off x="0" y="0"/>
                            <a:ext cx="469900" cy="228600"/>
                          </a:xfrm>
                          <a:prstGeom prst="rect">
                            <a:avLst/>
                          </a:prstGeom>
                          <a:noFill/>
                          <a:ln>
                            <a:noFill/>
                          </a:ln>
                        </pic:spPr>
                      </pic:pic>
                    </a:graphicData>
                  </a:graphic>
                </wp:anchor>
              </w:drawing>
            </w:r>
            <w:r>
              <w:rPr>
                <w:rFonts w:ascii="宋体" w:hAnsi="宋体" w:cs="宋体"/>
                <w:color w:val="000000"/>
                <w:kern w:val="0"/>
                <w:sz w:val="22"/>
                <w:szCs w:val="22"/>
              </w:rPr>
              <w:drawing>
                <wp:anchor distT="0" distB="0" distL="114300" distR="114300" simplePos="0" relativeHeight="251665408" behindDoc="0" locked="0" layoutInCell="1" allowOverlap="1">
                  <wp:simplePos x="0" y="0"/>
                  <wp:positionH relativeFrom="column">
                    <wp:posOffset>-45085</wp:posOffset>
                  </wp:positionH>
                  <wp:positionV relativeFrom="paragraph">
                    <wp:posOffset>2038985</wp:posOffset>
                  </wp:positionV>
                  <wp:extent cx="387350" cy="228600"/>
                  <wp:effectExtent l="0" t="0" r="0" b="0"/>
                  <wp:wrapNone/>
                  <wp:docPr id="5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图片 7"/>
                          <pic:cNvPicPr>
                            <a:picLocks noChangeAspect="1" noChangeArrowheads="1"/>
                          </pic:cNvPicPr>
                        </pic:nvPicPr>
                        <pic:blipFill>
                          <a:blip r:embed="rId92">
                            <a:extLst>
                              <a:ext uri="{28A0092B-C50C-407E-A947-70E740481C1C}">
                                <a14:useLocalDpi xmlns:a14="http://schemas.microsoft.com/office/drawing/2010/main" val="0"/>
                              </a:ext>
                            </a:extLst>
                          </a:blip>
                          <a:srcRect/>
                          <a:stretch>
                            <a:fillRect/>
                          </a:stretch>
                        </pic:blipFill>
                        <pic:spPr>
                          <a:xfrm>
                            <a:off x="0" y="0"/>
                            <a:ext cx="387350" cy="228600"/>
                          </a:xfrm>
                          <a:prstGeom prst="rect">
                            <a:avLst/>
                          </a:prstGeom>
                          <a:noFill/>
                          <a:ln>
                            <a:noFill/>
                          </a:ln>
                        </pic:spPr>
                      </pic:pic>
                    </a:graphicData>
                  </a:graphic>
                </wp:anchor>
              </w:drawing>
            </w:r>
            <w:r>
              <w:rPr>
                <w:i/>
                <w:iCs/>
                <w:color w:val="000000"/>
                <w:kern w:val="0"/>
                <w:sz w:val="22"/>
                <w:szCs w:val="22"/>
              </w:rPr>
              <w:drawing>
                <wp:anchor distT="0" distB="0" distL="114300" distR="114300" simplePos="0" relativeHeight="251667456" behindDoc="0" locked="0" layoutInCell="1" allowOverlap="1">
                  <wp:simplePos x="0" y="0"/>
                  <wp:positionH relativeFrom="column">
                    <wp:posOffset>-5715</wp:posOffset>
                  </wp:positionH>
                  <wp:positionV relativeFrom="paragraph">
                    <wp:posOffset>81915</wp:posOffset>
                  </wp:positionV>
                  <wp:extent cx="400050" cy="209550"/>
                  <wp:effectExtent l="0" t="0" r="0" b="0"/>
                  <wp:wrapNone/>
                  <wp:docPr id="59"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图片 6"/>
                          <pic:cNvPicPr>
                            <a:picLocks noChangeAspect="1" noChangeArrowheads="1"/>
                          </pic:cNvPicPr>
                        </pic:nvPicPr>
                        <pic:blipFill>
                          <a:blip r:embed="rId93">
                            <a:extLst>
                              <a:ext uri="{28A0092B-C50C-407E-A947-70E740481C1C}">
                                <a14:useLocalDpi xmlns:a14="http://schemas.microsoft.com/office/drawing/2010/main" val="0"/>
                              </a:ext>
                            </a:extLst>
                          </a:blip>
                          <a:srcRect/>
                          <a:stretch>
                            <a:fillRect/>
                          </a:stretch>
                        </pic:blipFill>
                        <pic:spPr>
                          <a:xfrm>
                            <a:off x="0" y="0"/>
                            <a:ext cx="400050" cy="209550"/>
                          </a:xfrm>
                          <a:prstGeom prst="rect">
                            <a:avLst/>
                          </a:prstGeom>
                          <a:noFill/>
                          <a:ln>
                            <a:noFill/>
                          </a:ln>
                        </pic:spPr>
                      </pic:pic>
                    </a:graphicData>
                  </a:graphic>
                </wp:anchor>
              </w:drawing>
            </w:r>
            <w:r>
              <w:rPr>
                <w:color w:val="000000"/>
                <w:kern w:val="0"/>
                <w:sz w:val="22"/>
                <w:szCs w:val="22"/>
              </w:rPr>
              <w:drawing>
                <wp:anchor distT="0" distB="0" distL="114300" distR="114300" simplePos="0" relativeHeight="251668480" behindDoc="0" locked="0" layoutInCell="1" allowOverlap="1">
                  <wp:simplePos x="0" y="0"/>
                  <wp:positionH relativeFrom="column">
                    <wp:posOffset>-26035</wp:posOffset>
                  </wp:positionH>
                  <wp:positionV relativeFrom="paragraph">
                    <wp:posOffset>343535</wp:posOffset>
                  </wp:positionV>
                  <wp:extent cx="527050" cy="241300"/>
                  <wp:effectExtent l="0" t="0" r="0" b="0"/>
                  <wp:wrapNone/>
                  <wp:docPr id="60"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图片 5"/>
                          <pic:cNvPicPr>
                            <a:picLocks noChangeAspect="1" noChangeArrowheads="1"/>
                          </pic:cNvPicPr>
                        </pic:nvPicPr>
                        <pic:blipFill>
                          <a:blip r:embed="rId94">
                            <a:extLst>
                              <a:ext uri="{28A0092B-C50C-407E-A947-70E740481C1C}">
                                <a14:useLocalDpi xmlns:a14="http://schemas.microsoft.com/office/drawing/2010/main" val="0"/>
                              </a:ext>
                            </a:extLst>
                          </a:blip>
                          <a:srcRect/>
                          <a:stretch>
                            <a:fillRect/>
                          </a:stretch>
                        </pic:blipFill>
                        <pic:spPr>
                          <a:xfrm>
                            <a:off x="0" y="0"/>
                            <a:ext cx="527050" cy="241300"/>
                          </a:xfrm>
                          <a:prstGeom prst="rect">
                            <a:avLst/>
                          </a:prstGeom>
                          <a:noFill/>
                          <a:ln>
                            <a:noFill/>
                          </a:ln>
                        </pic:spPr>
                      </pic:pic>
                    </a:graphicData>
                  </a:graphic>
                </wp:anchor>
              </w:drawing>
            </w:r>
            <w:r>
              <w:rPr>
                <w:color w:val="000000"/>
                <w:kern w:val="0"/>
                <w:sz w:val="22"/>
                <w:szCs w:val="22"/>
              </w:rPr>
              <w:drawing>
                <wp:anchor distT="0" distB="0" distL="114300" distR="114300" simplePos="0" relativeHeight="251662336" behindDoc="0" locked="0" layoutInCell="1" allowOverlap="1">
                  <wp:simplePos x="0" y="0"/>
                  <wp:positionH relativeFrom="column">
                    <wp:posOffset>-19685</wp:posOffset>
                  </wp:positionH>
                  <wp:positionV relativeFrom="paragraph">
                    <wp:posOffset>635635</wp:posOffset>
                  </wp:positionV>
                  <wp:extent cx="527050" cy="228600"/>
                  <wp:effectExtent l="0" t="0" r="0" b="0"/>
                  <wp:wrapNone/>
                  <wp:docPr id="5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图片 4"/>
                          <pic:cNvPicPr>
                            <a:picLocks noChangeAspect="1" noChangeArrowheads="1"/>
                          </pic:cNvPicPr>
                        </pic:nvPicPr>
                        <pic:blipFill>
                          <a:blip r:embed="rId95">
                            <a:extLst>
                              <a:ext uri="{28A0092B-C50C-407E-A947-70E740481C1C}">
                                <a14:useLocalDpi xmlns:a14="http://schemas.microsoft.com/office/drawing/2010/main" val="0"/>
                              </a:ext>
                            </a:extLst>
                          </a:blip>
                          <a:srcRect/>
                          <a:stretch>
                            <a:fillRect/>
                          </a:stretch>
                        </pic:blipFill>
                        <pic:spPr>
                          <a:xfrm>
                            <a:off x="0" y="0"/>
                            <a:ext cx="527050" cy="228600"/>
                          </a:xfrm>
                          <a:prstGeom prst="rect">
                            <a:avLst/>
                          </a:prstGeom>
                          <a:noFill/>
                          <a:ln>
                            <a:noFill/>
                          </a:ln>
                        </pic:spPr>
                      </pic:pic>
                    </a:graphicData>
                  </a:graphic>
                </wp:anchor>
              </w:drawing>
            </w:r>
          </w:p>
        </w:tc>
        <w:tc>
          <w:tcPr>
            <w:tcW w:w="155" w:type="pct"/>
            <w:tcBorders>
              <w:top w:val="nil"/>
              <w:left w:val="nil"/>
              <w:bottom w:val="single" w:color="auto" w:sz="4" w:space="0"/>
              <w:right w:val="single" w:color="auto" w:sz="4" w:space="0"/>
            </w:tcBorders>
            <w:noWrap/>
            <w:vAlign w:val="center"/>
          </w:tcPr>
          <w:p w14:paraId="47192981">
            <w:pPr>
              <w:ind w:left="0"/>
              <w:jc w:val="center"/>
              <w:rPr>
                <w:color w:val="000000"/>
                <w:kern w:val="0"/>
                <w:sz w:val="22"/>
                <w:szCs w:val="22"/>
              </w:rPr>
            </w:pPr>
            <w:r>
              <w:rPr>
                <w:color w:val="000000"/>
                <w:kern w:val="0"/>
                <w:sz w:val="22"/>
                <w:szCs w:val="22"/>
              </w:rPr>
              <w:t>kg</w:t>
            </w:r>
          </w:p>
        </w:tc>
        <w:tc>
          <w:tcPr>
            <w:tcW w:w="3462" w:type="pct"/>
            <w:gridSpan w:val="8"/>
            <w:tcBorders>
              <w:top w:val="single" w:color="auto" w:sz="4" w:space="0"/>
              <w:left w:val="nil"/>
              <w:bottom w:val="single" w:color="auto" w:sz="4" w:space="0"/>
              <w:right w:val="single" w:color="auto" w:sz="4" w:space="0"/>
            </w:tcBorders>
            <w:vAlign w:val="center"/>
          </w:tcPr>
          <w:p w14:paraId="2B5A0BFC">
            <w:pPr>
              <w:jc w:val="center"/>
              <w:textAlignment w:val="center"/>
              <w:rPr>
                <w:color w:val="000000"/>
                <w:kern w:val="0"/>
                <w:sz w:val="22"/>
                <w:szCs w:val="22"/>
              </w:rPr>
            </w:pPr>
            <w:r>
              <w:rPr>
                <w:color w:val="000000"/>
                <w:kern w:val="0"/>
                <w:sz w:val="22"/>
                <w:szCs w:val="22"/>
                <w:lang w:bidi="ar"/>
              </w:rPr>
              <w:t xml:space="preserve">0.014 </w:t>
            </w:r>
          </w:p>
        </w:tc>
      </w:tr>
      <w:tr w14:paraId="3ECBE4EA">
        <w:tblPrEx>
          <w:tblCellMar>
            <w:top w:w="0" w:type="dxa"/>
            <w:left w:w="108" w:type="dxa"/>
            <w:bottom w:w="0" w:type="dxa"/>
            <w:right w:w="108" w:type="dxa"/>
          </w:tblCellMar>
        </w:tblPrEx>
        <w:trPr>
          <w:trHeight w:val="440" w:hRule="atLeast"/>
        </w:trPr>
        <w:tc>
          <w:tcPr>
            <w:tcW w:w="1032" w:type="pct"/>
            <w:tcBorders>
              <w:top w:val="nil"/>
              <w:left w:val="single" w:color="auto" w:sz="4" w:space="0"/>
              <w:bottom w:val="single" w:color="auto" w:sz="4" w:space="0"/>
              <w:right w:val="single" w:color="auto" w:sz="4" w:space="0"/>
            </w:tcBorders>
            <w:noWrap/>
            <w:vAlign w:val="center"/>
          </w:tcPr>
          <w:p w14:paraId="39114E77">
            <w:pPr>
              <w:ind w:left="0"/>
              <w:jc w:val="center"/>
              <w:rPr>
                <w:rFonts w:hint="eastAsia" w:ascii="宋体" w:hAnsi="宋体" w:cs="宋体"/>
                <w:color w:val="000000"/>
                <w:kern w:val="0"/>
                <w:sz w:val="22"/>
                <w:szCs w:val="22"/>
              </w:rPr>
            </w:pPr>
            <w:r>
              <w:rPr>
                <w:rFonts w:hint="eastAsia" w:ascii="宋体" w:hAnsi="宋体" w:cs="宋体"/>
                <w:color w:val="000000"/>
                <w:kern w:val="0"/>
                <w:sz w:val="22"/>
                <w:szCs w:val="22"/>
              </w:rPr>
              <w:t>重复性</w:t>
            </w:r>
          </w:p>
        </w:tc>
        <w:tc>
          <w:tcPr>
            <w:tcW w:w="349" w:type="pct"/>
            <w:tcBorders>
              <w:top w:val="nil"/>
              <w:left w:val="nil"/>
              <w:bottom w:val="single" w:color="auto" w:sz="4" w:space="0"/>
              <w:right w:val="single" w:color="auto" w:sz="4" w:space="0"/>
            </w:tcBorders>
            <w:noWrap/>
            <w:vAlign w:val="center"/>
          </w:tcPr>
          <w:p w14:paraId="67FBF93B">
            <w:pPr>
              <w:ind w:left="0"/>
              <w:jc w:val="center"/>
              <w:rPr>
                <w:color w:val="000000"/>
                <w:kern w:val="0"/>
                <w:sz w:val="22"/>
                <w:szCs w:val="22"/>
              </w:rPr>
            </w:pPr>
          </w:p>
        </w:tc>
        <w:tc>
          <w:tcPr>
            <w:tcW w:w="155" w:type="pct"/>
            <w:tcBorders>
              <w:top w:val="nil"/>
              <w:left w:val="nil"/>
              <w:bottom w:val="single" w:color="auto" w:sz="4" w:space="0"/>
              <w:right w:val="single" w:color="auto" w:sz="4" w:space="0"/>
            </w:tcBorders>
            <w:noWrap/>
            <w:vAlign w:val="center"/>
          </w:tcPr>
          <w:p w14:paraId="489529A5">
            <w:pPr>
              <w:ind w:left="0"/>
              <w:jc w:val="center"/>
              <w:rPr>
                <w:color w:val="000000"/>
                <w:kern w:val="0"/>
                <w:sz w:val="22"/>
                <w:szCs w:val="22"/>
              </w:rPr>
            </w:pPr>
            <w:r>
              <w:rPr>
                <w:color w:val="000000"/>
                <w:kern w:val="0"/>
                <w:sz w:val="22"/>
                <w:szCs w:val="22"/>
              </w:rPr>
              <w:t>kg</w:t>
            </w:r>
          </w:p>
        </w:tc>
        <w:tc>
          <w:tcPr>
            <w:tcW w:w="3462" w:type="pct"/>
            <w:gridSpan w:val="8"/>
            <w:tcBorders>
              <w:top w:val="single" w:color="auto" w:sz="4" w:space="0"/>
              <w:left w:val="nil"/>
              <w:bottom w:val="single" w:color="auto" w:sz="4" w:space="0"/>
              <w:right w:val="single" w:color="auto" w:sz="4" w:space="0"/>
            </w:tcBorders>
            <w:vAlign w:val="center"/>
          </w:tcPr>
          <w:p w14:paraId="1D6B7749">
            <w:pPr>
              <w:jc w:val="center"/>
              <w:textAlignment w:val="center"/>
              <w:rPr>
                <w:color w:val="000000"/>
                <w:kern w:val="0"/>
                <w:sz w:val="22"/>
                <w:szCs w:val="22"/>
              </w:rPr>
            </w:pPr>
            <w:r>
              <w:rPr>
                <w:color w:val="000000"/>
                <w:kern w:val="0"/>
                <w:sz w:val="22"/>
                <w:szCs w:val="22"/>
                <w:lang w:bidi="ar"/>
              </w:rPr>
              <w:t xml:space="preserve">0.030 </w:t>
            </w:r>
          </w:p>
        </w:tc>
      </w:tr>
      <w:tr w14:paraId="32D4D77F">
        <w:tblPrEx>
          <w:tblCellMar>
            <w:top w:w="0" w:type="dxa"/>
            <w:left w:w="108" w:type="dxa"/>
            <w:bottom w:w="0" w:type="dxa"/>
            <w:right w:w="108" w:type="dxa"/>
          </w:tblCellMar>
        </w:tblPrEx>
        <w:trPr>
          <w:trHeight w:val="440" w:hRule="atLeast"/>
        </w:trPr>
        <w:tc>
          <w:tcPr>
            <w:tcW w:w="1032" w:type="pct"/>
            <w:tcBorders>
              <w:top w:val="nil"/>
              <w:left w:val="single" w:color="auto" w:sz="4" w:space="0"/>
              <w:bottom w:val="single" w:color="auto" w:sz="4" w:space="0"/>
              <w:right w:val="single" w:color="auto" w:sz="4" w:space="0"/>
            </w:tcBorders>
            <w:noWrap/>
            <w:vAlign w:val="center"/>
          </w:tcPr>
          <w:p w14:paraId="2F19C418">
            <w:pPr>
              <w:ind w:left="0"/>
              <w:jc w:val="center"/>
              <w:rPr>
                <w:rFonts w:hint="eastAsia" w:ascii="宋体" w:hAnsi="宋体" w:cs="宋体"/>
                <w:color w:val="000000"/>
                <w:kern w:val="0"/>
                <w:sz w:val="22"/>
                <w:szCs w:val="22"/>
              </w:rPr>
            </w:pPr>
            <w:r>
              <w:rPr>
                <w:rFonts w:hint="eastAsia" w:ascii="宋体" w:hAnsi="宋体" w:cs="宋体"/>
                <w:color w:val="000000"/>
                <w:kern w:val="0"/>
                <w:sz w:val="22"/>
                <w:szCs w:val="22"/>
              </w:rPr>
              <w:t>载荷在不同位置误差</w:t>
            </w:r>
          </w:p>
        </w:tc>
        <w:tc>
          <w:tcPr>
            <w:tcW w:w="349" w:type="pct"/>
            <w:tcBorders>
              <w:top w:val="nil"/>
              <w:left w:val="nil"/>
              <w:bottom w:val="single" w:color="auto" w:sz="4" w:space="0"/>
              <w:right w:val="single" w:color="auto" w:sz="4" w:space="0"/>
            </w:tcBorders>
            <w:noWrap/>
            <w:vAlign w:val="center"/>
          </w:tcPr>
          <w:p w14:paraId="0A849374">
            <w:pPr>
              <w:ind w:left="0"/>
              <w:jc w:val="center"/>
              <w:rPr>
                <w:color w:val="000000"/>
                <w:kern w:val="0"/>
                <w:sz w:val="22"/>
                <w:szCs w:val="22"/>
              </w:rPr>
            </w:pPr>
          </w:p>
        </w:tc>
        <w:tc>
          <w:tcPr>
            <w:tcW w:w="155" w:type="pct"/>
            <w:tcBorders>
              <w:top w:val="nil"/>
              <w:left w:val="nil"/>
              <w:bottom w:val="single" w:color="auto" w:sz="4" w:space="0"/>
              <w:right w:val="single" w:color="auto" w:sz="4" w:space="0"/>
            </w:tcBorders>
            <w:noWrap/>
            <w:vAlign w:val="center"/>
          </w:tcPr>
          <w:p w14:paraId="1B198E9A">
            <w:pPr>
              <w:ind w:left="0"/>
              <w:jc w:val="center"/>
              <w:rPr>
                <w:color w:val="000000"/>
                <w:kern w:val="0"/>
                <w:sz w:val="22"/>
                <w:szCs w:val="22"/>
              </w:rPr>
            </w:pPr>
            <w:r>
              <w:rPr>
                <w:color w:val="000000"/>
                <w:kern w:val="0"/>
                <w:sz w:val="22"/>
                <w:szCs w:val="22"/>
              </w:rPr>
              <w:t>kg</w:t>
            </w:r>
          </w:p>
        </w:tc>
        <w:tc>
          <w:tcPr>
            <w:tcW w:w="432" w:type="pct"/>
            <w:tcBorders>
              <w:top w:val="nil"/>
              <w:left w:val="nil"/>
              <w:bottom w:val="single" w:color="auto" w:sz="4" w:space="0"/>
              <w:right w:val="single" w:color="auto" w:sz="4" w:space="0"/>
            </w:tcBorders>
            <w:noWrap/>
            <w:vAlign w:val="center"/>
          </w:tcPr>
          <w:p w14:paraId="3E806C08">
            <w:pPr>
              <w:jc w:val="center"/>
              <w:textAlignment w:val="center"/>
              <w:rPr>
                <w:color w:val="000000"/>
                <w:kern w:val="0"/>
                <w:sz w:val="22"/>
                <w:szCs w:val="22"/>
              </w:rPr>
            </w:pPr>
            <w:r>
              <w:rPr>
                <w:color w:val="000000"/>
                <w:kern w:val="0"/>
                <w:sz w:val="22"/>
                <w:szCs w:val="22"/>
                <w:lang w:bidi="ar"/>
              </w:rPr>
              <w:t xml:space="preserve">0.001 </w:t>
            </w:r>
          </w:p>
        </w:tc>
        <w:tc>
          <w:tcPr>
            <w:tcW w:w="432" w:type="pct"/>
            <w:tcBorders>
              <w:top w:val="nil"/>
              <w:left w:val="nil"/>
              <w:bottom w:val="single" w:color="auto" w:sz="4" w:space="0"/>
              <w:right w:val="single" w:color="auto" w:sz="4" w:space="0"/>
            </w:tcBorders>
            <w:noWrap/>
            <w:vAlign w:val="center"/>
          </w:tcPr>
          <w:p w14:paraId="5FBD50B0">
            <w:pPr>
              <w:jc w:val="center"/>
              <w:textAlignment w:val="center"/>
              <w:rPr>
                <w:color w:val="000000"/>
                <w:kern w:val="0"/>
                <w:sz w:val="22"/>
                <w:szCs w:val="22"/>
              </w:rPr>
            </w:pPr>
            <w:r>
              <w:rPr>
                <w:color w:val="000000"/>
                <w:kern w:val="0"/>
                <w:sz w:val="22"/>
                <w:szCs w:val="22"/>
                <w:lang w:bidi="ar"/>
              </w:rPr>
              <w:t xml:space="preserve">0.009 </w:t>
            </w:r>
          </w:p>
        </w:tc>
        <w:tc>
          <w:tcPr>
            <w:tcW w:w="432" w:type="pct"/>
            <w:tcBorders>
              <w:top w:val="nil"/>
              <w:left w:val="nil"/>
              <w:bottom w:val="single" w:color="auto" w:sz="4" w:space="0"/>
              <w:right w:val="single" w:color="auto" w:sz="4" w:space="0"/>
            </w:tcBorders>
            <w:noWrap/>
            <w:vAlign w:val="center"/>
          </w:tcPr>
          <w:p w14:paraId="7CCD4B59">
            <w:pPr>
              <w:jc w:val="center"/>
              <w:textAlignment w:val="center"/>
              <w:rPr>
                <w:color w:val="000000"/>
                <w:kern w:val="0"/>
                <w:sz w:val="22"/>
                <w:szCs w:val="22"/>
              </w:rPr>
            </w:pPr>
            <w:r>
              <w:rPr>
                <w:color w:val="000000"/>
                <w:kern w:val="0"/>
                <w:sz w:val="22"/>
                <w:szCs w:val="22"/>
                <w:lang w:bidi="ar"/>
              </w:rPr>
              <w:t xml:space="preserve">0.015 </w:t>
            </w:r>
          </w:p>
        </w:tc>
        <w:tc>
          <w:tcPr>
            <w:tcW w:w="432" w:type="pct"/>
            <w:tcBorders>
              <w:top w:val="single" w:color="auto" w:sz="4" w:space="0"/>
              <w:left w:val="nil"/>
              <w:bottom w:val="single" w:color="auto" w:sz="4" w:space="0"/>
              <w:right w:val="single" w:color="auto" w:sz="4" w:space="0"/>
            </w:tcBorders>
            <w:vAlign w:val="center"/>
          </w:tcPr>
          <w:p w14:paraId="6AD0863F">
            <w:pPr>
              <w:ind w:left="0"/>
              <w:jc w:val="center"/>
              <w:rPr>
                <w:color w:val="000000"/>
                <w:kern w:val="0"/>
                <w:sz w:val="22"/>
                <w:szCs w:val="22"/>
              </w:rPr>
            </w:pPr>
            <w:r>
              <w:rPr>
                <w:color w:val="000000"/>
                <w:kern w:val="0"/>
                <w:sz w:val="22"/>
                <w:szCs w:val="22"/>
              </w:rPr>
              <w:t>······</w:t>
            </w:r>
          </w:p>
        </w:tc>
        <w:tc>
          <w:tcPr>
            <w:tcW w:w="432" w:type="pct"/>
            <w:tcBorders>
              <w:top w:val="single" w:color="auto" w:sz="4" w:space="0"/>
              <w:left w:val="single" w:color="auto" w:sz="4" w:space="0"/>
              <w:bottom w:val="single" w:color="auto" w:sz="4" w:space="0"/>
              <w:right w:val="single" w:color="auto" w:sz="4" w:space="0"/>
            </w:tcBorders>
            <w:noWrap/>
            <w:vAlign w:val="center"/>
          </w:tcPr>
          <w:p w14:paraId="5CBB14E6">
            <w:pPr>
              <w:jc w:val="center"/>
              <w:textAlignment w:val="center"/>
              <w:rPr>
                <w:color w:val="000000"/>
                <w:kern w:val="0"/>
                <w:sz w:val="22"/>
                <w:szCs w:val="22"/>
              </w:rPr>
            </w:pPr>
            <w:r>
              <w:rPr>
                <w:color w:val="000000"/>
                <w:kern w:val="0"/>
                <w:sz w:val="22"/>
                <w:szCs w:val="22"/>
                <w:lang w:bidi="ar"/>
              </w:rPr>
              <w:t xml:space="preserve">0.071 </w:t>
            </w:r>
          </w:p>
        </w:tc>
        <w:tc>
          <w:tcPr>
            <w:tcW w:w="432" w:type="pct"/>
            <w:tcBorders>
              <w:top w:val="nil"/>
              <w:left w:val="nil"/>
              <w:bottom w:val="single" w:color="auto" w:sz="4" w:space="0"/>
              <w:right w:val="single" w:color="auto" w:sz="4" w:space="0"/>
            </w:tcBorders>
            <w:noWrap/>
            <w:vAlign w:val="center"/>
          </w:tcPr>
          <w:p w14:paraId="101D98B2">
            <w:pPr>
              <w:jc w:val="center"/>
              <w:textAlignment w:val="center"/>
              <w:rPr>
                <w:color w:val="000000"/>
                <w:kern w:val="0"/>
                <w:sz w:val="22"/>
                <w:szCs w:val="22"/>
              </w:rPr>
            </w:pPr>
            <w:r>
              <w:rPr>
                <w:color w:val="000000"/>
                <w:kern w:val="0"/>
                <w:sz w:val="22"/>
                <w:szCs w:val="22"/>
                <w:lang w:bidi="ar"/>
              </w:rPr>
              <w:t xml:space="preserve">0.078 </w:t>
            </w:r>
          </w:p>
        </w:tc>
        <w:tc>
          <w:tcPr>
            <w:tcW w:w="432" w:type="pct"/>
            <w:tcBorders>
              <w:top w:val="nil"/>
              <w:left w:val="nil"/>
              <w:bottom w:val="single" w:color="auto" w:sz="4" w:space="0"/>
              <w:right w:val="single" w:color="auto" w:sz="4" w:space="0"/>
            </w:tcBorders>
            <w:noWrap/>
            <w:vAlign w:val="center"/>
          </w:tcPr>
          <w:p w14:paraId="5A778FAC">
            <w:pPr>
              <w:jc w:val="center"/>
              <w:textAlignment w:val="center"/>
              <w:rPr>
                <w:color w:val="000000"/>
                <w:kern w:val="0"/>
                <w:sz w:val="22"/>
                <w:szCs w:val="22"/>
              </w:rPr>
            </w:pPr>
            <w:r>
              <w:rPr>
                <w:color w:val="000000"/>
                <w:kern w:val="0"/>
                <w:sz w:val="22"/>
                <w:szCs w:val="22"/>
                <w:lang w:bidi="ar"/>
              </w:rPr>
              <w:t xml:space="preserve">0.085 </w:t>
            </w:r>
          </w:p>
        </w:tc>
        <w:tc>
          <w:tcPr>
            <w:tcW w:w="433" w:type="pct"/>
            <w:tcBorders>
              <w:top w:val="nil"/>
              <w:left w:val="nil"/>
              <w:bottom w:val="single" w:color="auto" w:sz="4" w:space="0"/>
              <w:right w:val="single" w:color="auto" w:sz="4" w:space="0"/>
            </w:tcBorders>
            <w:noWrap/>
            <w:vAlign w:val="center"/>
          </w:tcPr>
          <w:p w14:paraId="37CF9D5D">
            <w:pPr>
              <w:jc w:val="center"/>
              <w:textAlignment w:val="center"/>
              <w:rPr>
                <w:color w:val="000000"/>
                <w:kern w:val="0"/>
                <w:sz w:val="22"/>
                <w:szCs w:val="22"/>
              </w:rPr>
            </w:pPr>
            <w:r>
              <w:rPr>
                <w:color w:val="000000"/>
                <w:kern w:val="0"/>
                <w:sz w:val="22"/>
                <w:szCs w:val="22"/>
                <w:lang w:bidi="ar"/>
              </w:rPr>
              <w:t xml:space="preserve">0.092 </w:t>
            </w:r>
          </w:p>
        </w:tc>
      </w:tr>
      <w:tr w14:paraId="408B3F7E">
        <w:tblPrEx>
          <w:tblCellMar>
            <w:top w:w="0" w:type="dxa"/>
            <w:left w:w="108" w:type="dxa"/>
            <w:bottom w:w="0" w:type="dxa"/>
            <w:right w:w="108" w:type="dxa"/>
          </w:tblCellMar>
        </w:tblPrEx>
        <w:trPr>
          <w:trHeight w:val="440" w:hRule="atLeast"/>
        </w:trPr>
        <w:tc>
          <w:tcPr>
            <w:tcW w:w="1032" w:type="pct"/>
            <w:tcBorders>
              <w:top w:val="nil"/>
              <w:left w:val="single" w:color="auto" w:sz="4" w:space="0"/>
              <w:bottom w:val="single" w:color="auto" w:sz="4" w:space="0"/>
              <w:right w:val="single" w:color="auto" w:sz="4" w:space="0"/>
            </w:tcBorders>
            <w:noWrap/>
            <w:vAlign w:val="center"/>
          </w:tcPr>
          <w:p w14:paraId="2A5BED64">
            <w:pPr>
              <w:ind w:left="0"/>
              <w:jc w:val="center"/>
              <w:rPr>
                <w:rFonts w:hint="eastAsia" w:ascii="宋体" w:hAnsi="宋体" w:cs="宋体"/>
                <w:color w:val="000000"/>
                <w:kern w:val="0"/>
                <w:sz w:val="22"/>
                <w:szCs w:val="22"/>
              </w:rPr>
            </w:pPr>
            <w:r>
              <w:rPr>
                <w:rFonts w:hint="eastAsia" w:ascii="宋体" w:hAnsi="宋体" w:cs="宋体"/>
                <w:color w:val="000000"/>
                <w:kern w:val="0"/>
                <w:sz w:val="22"/>
                <w:szCs w:val="22"/>
              </w:rPr>
              <w:t>蠕变和滞后</w:t>
            </w:r>
          </w:p>
        </w:tc>
        <w:tc>
          <w:tcPr>
            <w:tcW w:w="349" w:type="pct"/>
            <w:tcBorders>
              <w:top w:val="nil"/>
              <w:left w:val="nil"/>
              <w:bottom w:val="single" w:color="auto" w:sz="4" w:space="0"/>
              <w:right w:val="single" w:color="auto" w:sz="4" w:space="0"/>
            </w:tcBorders>
            <w:noWrap/>
            <w:vAlign w:val="center"/>
          </w:tcPr>
          <w:p w14:paraId="23AEEF65">
            <w:pPr>
              <w:ind w:left="0"/>
              <w:jc w:val="center"/>
              <w:rPr>
                <w:color w:val="000000"/>
                <w:kern w:val="0"/>
                <w:sz w:val="22"/>
                <w:szCs w:val="22"/>
              </w:rPr>
            </w:pPr>
          </w:p>
        </w:tc>
        <w:tc>
          <w:tcPr>
            <w:tcW w:w="155" w:type="pct"/>
            <w:tcBorders>
              <w:top w:val="nil"/>
              <w:left w:val="nil"/>
              <w:bottom w:val="single" w:color="auto" w:sz="4" w:space="0"/>
              <w:right w:val="single" w:color="auto" w:sz="4" w:space="0"/>
            </w:tcBorders>
            <w:noWrap/>
            <w:vAlign w:val="center"/>
          </w:tcPr>
          <w:p w14:paraId="0922B5E9">
            <w:pPr>
              <w:ind w:left="0"/>
              <w:jc w:val="center"/>
              <w:rPr>
                <w:color w:val="000000"/>
                <w:kern w:val="0"/>
                <w:sz w:val="22"/>
                <w:szCs w:val="22"/>
              </w:rPr>
            </w:pPr>
            <w:r>
              <w:rPr>
                <w:color w:val="000000"/>
                <w:kern w:val="0"/>
                <w:sz w:val="22"/>
                <w:szCs w:val="22"/>
              </w:rPr>
              <w:t>kg</w:t>
            </w:r>
          </w:p>
        </w:tc>
        <w:tc>
          <w:tcPr>
            <w:tcW w:w="432" w:type="pct"/>
            <w:tcBorders>
              <w:top w:val="nil"/>
              <w:left w:val="nil"/>
              <w:bottom w:val="single" w:color="auto" w:sz="4" w:space="0"/>
              <w:right w:val="single" w:color="auto" w:sz="4" w:space="0"/>
            </w:tcBorders>
            <w:noWrap/>
            <w:vAlign w:val="center"/>
          </w:tcPr>
          <w:p w14:paraId="13A95250">
            <w:pPr>
              <w:jc w:val="center"/>
              <w:textAlignment w:val="center"/>
              <w:rPr>
                <w:color w:val="000000"/>
                <w:kern w:val="0"/>
                <w:sz w:val="22"/>
                <w:szCs w:val="22"/>
              </w:rPr>
            </w:pPr>
            <w:r>
              <w:rPr>
                <w:color w:val="000000"/>
                <w:kern w:val="0"/>
                <w:sz w:val="22"/>
                <w:szCs w:val="22"/>
                <w:lang w:bidi="ar"/>
              </w:rPr>
              <w:t xml:space="preserve">0.000 </w:t>
            </w:r>
          </w:p>
        </w:tc>
        <w:tc>
          <w:tcPr>
            <w:tcW w:w="432" w:type="pct"/>
            <w:tcBorders>
              <w:top w:val="nil"/>
              <w:left w:val="nil"/>
              <w:bottom w:val="single" w:color="auto" w:sz="4" w:space="0"/>
              <w:right w:val="single" w:color="auto" w:sz="4" w:space="0"/>
            </w:tcBorders>
            <w:noWrap/>
            <w:vAlign w:val="center"/>
          </w:tcPr>
          <w:p w14:paraId="61C7700C">
            <w:pPr>
              <w:jc w:val="center"/>
              <w:textAlignment w:val="center"/>
              <w:rPr>
                <w:color w:val="000000"/>
                <w:kern w:val="0"/>
                <w:sz w:val="22"/>
                <w:szCs w:val="22"/>
              </w:rPr>
            </w:pPr>
            <w:r>
              <w:rPr>
                <w:color w:val="000000"/>
                <w:kern w:val="0"/>
                <w:sz w:val="22"/>
                <w:szCs w:val="22"/>
                <w:lang w:bidi="ar"/>
              </w:rPr>
              <w:t xml:space="preserve">0.001 </w:t>
            </w:r>
          </w:p>
        </w:tc>
        <w:tc>
          <w:tcPr>
            <w:tcW w:w="432" w:type="pct"/>
            <w:tcBorders>
              <w:top w:val="nil"/>
              <w:left w:val="nil"/>
              <w:bottom w:val="single" w:color="auto" w:sz="4" w:space="0"/>
              <w:right w:val="single" w:color="auto" w:sz="4" w:space="0"/>
            </w:tcBorders>
            <w:noWrap/>
            <w:vAlign w:val="center"/>
          </w:tcPr>
          <w:p w14:paraId="3B2263E9">
            <w:pPr>
              <w:jc w:val="center"/>
              <w:textAlignment w:val="center"/>
              <w:rPr>
                <w:color w:val="000000"/>
                <w:kern w:val="0"/>
                <w:sz w:val="22"/>
                <w:szCs w:val="22"/>
              </w:rPr>
            </w:pPr>
            <w:r>
              <w:rPr>
                <w:color w:val="000000"/>
                <w:kern w:val="0"/>
                <w:sz w:val="22"/>
                <w:szCs w:val="22"/>
                <w:lang w:bidi="ar"/>
              </w:rPr>
              <w:t xml:space="preserve">0.002 </w:t>
            </w:r>
          </w:p>
        </w:tc>
        <w:tc>
          <w:tcPr>
            <w:tcW w:w="432" w:type="pct"/>
            <w:tcBorders>
              <w:top w:val="single" w:color="auto" w:sz="4" w:space="0"/>
              <w:left w:val="nil"/>
              <w:bottom w:val="single" w:color="auto" w:sz="4" w:space="0"/>
              <w:right w:val="single" w:color="auto" w:sz="4" w:space="0"/>
            </w:tcBorders>
            <w:vAlign w:val="center"/>
          </w:tcPr>
          <w:p w14:paraId="315FBC89">
            <w:pPr>
              <w:ind w:left="0"/>
              <w:jc w:val="center"/>
              <w:rPr>
                <w:color w:val="000000"/>
                <w:kern w:val="0"/>
                <w:sz w:val="22"/>
                <w:szCs w:val="22"/>
              </w:rPr>
            </w:pPr>
            <w:r>
              <w:rPr>
                <w:color w:val="000000"/>
                <w:kern w:val="0"/>
                <w:sz w:val="22"/>
                <w:szCs w:val="22"/>
              </w:rPr>
              <w:t>······</w:t>
            </w:r>
          </w:p>
        </w:tc>
        <w:tc>
          <w:tcPr>
            <w:tcW w:w="432" w:type="pct"/>
            <w:tcBorders>
              <w:top w:val="single" w:color="auto" w:sz="4" w:space="0"/>
              <w:left w:val="single" w:color="auto" w:sz="4" w:space="0"/>
              <w:bottom w:val="single" w:color="auto" w:sz="4" w:space="0"/>
              <w:right w:val="single" w:color="auto" w:sz="4" w:space="0"/>
            </w:tcBorders>
            <w:noWrap/>
            <w:vAlign w:val="center"/>
          </w:tcPr>
          <w:p w14:paraId="40D093E9">
            <w:pPr>
              <w:jc w:val="center"/>
              <w:textAlignment w:val="center"/>
              <w:rPr>
                <w:color w:val="000000"/>
                <w:kern w:val="0"/>
                <w:sz w:val="22"/>
                <w:szCs w:val="22"/>
              </w:rPr>
            </w:pPr>
            <w:r>
              <w:rPr>
                <w:color w:val="000000"/>
                <w:kern w:val="0"/>
                <w:sz w:val="22"/>
                <w:szCs w:val="22"/>
                <w:lang w:bidi="ar"/>
              </w:rPr>
              <w:t xml:space="preserve">0.011 </w:t>
            </w:r>
          </w:p>
        </w:tc>
        <w:tc>
          <w:tcPr>
            <w:tcW w:w="432" w:type="pct"/>
            <w:tcBorders>
              <w:top w:val="nil"/>
              <w:left w:val="nil"/>
              <w:bottom w:val="single" w:color="auto" w:sz="4" w:space="0"/>
              <w:right w:val="single" w:color="auto" w:sz="4" w:space="0"/>
            </w:tcBorders>
            <w:noWrap/>
            <w:vAlign w:val="center"/>
          </w:tcPr>
          <w:p w14:paraId="1CC717B4">
            <w:pPr>
              <w:jc w:val="center"/>
              <w:textAlignment w:val="center"/>
              <w:rPr>
                <w:color w:val="000000"/>
                <w:kern w:val="0"/>
                <w:sz w:val="22"/>
                <w:szCs w:val="22"/>
              </w:rPr>
            </w:pPr>
            <w:r>
              <w:rPr>
                <w:color w:val="000000"/>
                <w:kern w:val="0"/>
                <w:sz w:val="22"/>
                <w:szCs w:val="22"/>
                <w:lang w:bidi="ar"/>
              </w:rPr>
              <w:t xml:space="preserve">0.012 </w:t>
            </w:r>
          </w:p>
        </w:tc>
        <w:tc>
          <w:tcPr>
            <w:tcW w:w="432" w:type="pct"/>
            <w:tcBorders>
              <w:top w:val="nil"/>
              <w:left w:val="nil"/>
              <w:bottom w:val="single" w:color="auto" w:sz="4" w:space="0"/>
              <w:right w:val="single" w:color="auto" w:sz="4" w:space="0"/>
            </w:tcBorders>
            <w:noWrap/>
            <w:vAlign w:val="center"/>
          </w:tcPr>
          <w:p w14:paraId="1CE527DD">
            <w:pPr>
              <w:jc w:val="center"/>
              <w:textAlignment w:val="center"/>
              <w:rPr>
                <w:color w:val="000000"/>
                <w:kern w:val="0"/>
                <w:sz w:val="22"/>
                <w:szCs w:val="22"/>
              </w:rPr>
            </w:pPr>
            <w:r>
              <w:rPr>
                <w:color w:val="000000"/>
                <w:kern w:val="0"/>
                <w:sz w:val="22"/>
                <w:szCs w:val="22"/>
                <w:lang w:bidi="ar"/>
              </w:rPr>
              <w:t xml:space="preserve">0.013 </w:t>
            </w:r>
          </w:p>
        </w:tc>
        <w:tc>
          <w:tcPr>
            <w:tcW w:w="433" w:type="pct"/>
            <w:tcBorders>
              <w:top w:val="nil"/>
              <w:left w:val="nil"/>
              <w:bottom w:val="single" w:color="auto" w:sz="4" w:space="0"/>
              <w:right w:val="single" w:color="auto" w:sz="4" w:space="0"/>
            </w:tcBorders>
            <w:noWrap/>
            <w:vAlign w:val="center"/>
          </w:tcPr>
          <w:p w14:paraId="1E370A1A">
            <w:pPr>
              <w:jc w:val="center"/>
              <w:textAlignment w:val="center"/>
              <w:rPr>
                <w:color w:val="000000"/>
                <w:kern w:val="0"/>
                <w:sz w:val="22"/>
                <w:szCs w:val="22"/>
              </w:rPr>
            </w:pPr>
            <w:r>
              <w:rPr>
                <w:color w:val="000000"/>
                <w:kern w:val="0"/>
                <w:sz w:val="22"/>
                <w:szCs w:val="22"/>
                <w:lang w:bidi="ar"/>
              </w:rPr>
              <w:t xml:space="preserve">0.014 </w:t>
            </w:r>
          </w:p>
        </w:tc>
      </w:tr>
      <w:tr w14:paraId="19E7FD78">
        <w:tblPrEx>
          <w:tblCellMar>
            <w:top w:w="0" w:type="dxa"/>
            <w:left w:w="108" w:type="dxa"/>
            <w:bottom w:w="0" w:type="dxa"/>
            <w:right w:w="108" w:type="dxa"/>
          </w:tblCellMar>
        </w:tblPrEx>
        <w:trPr>
          <w:trHeight w:val="440" w:hRule="atLeast"/>
        </w:trPr>
        <w:tc>
          <w:tcPr>
            <w:tcW w:w="1032" w:type="pct"/>
            <w:tcBorders>
              <w:top w:val="nil"/>
              <w:left w:val="single" w:color="auto" w:sz="4" w:space="0"/>
              <w:bottom w:val="single" w:color="auto" w:sz="4" w:space="0"/>
              <w:right w:val="single" w:color="auto" w:sz="4" w:space="0"/>
            </w:tcBorders>
            <w:noWrap/>
            <w:vAlign w:val="center"/>
          </w:tcPr>
          <w:p w14:paraId="390F9985">
            <w:pPr>
              <w:ind w:left="0"/>
              <w:jc w:val="center"/>
              <w:rPr>
                <w:rFonts w:hint="eastAsia" w:ascii="宋体" w:hAnsi="宋体" w:cs="宋体"/>
                <w:color w:val="000000"/>
                <w:kern w:val="0"/>
                <w:sz w:val="22"/>
                <w:szCs w:val="22"/>
              </w:rPr>
            </w:pPr>
            <w:r>
              <w:rPr>
                <w:rFonts w:hint="eastAsia" w:ascii="宋体" w:hAnsi="宋体" w:cs="宋体"/>
                <w:color w:val="000000"/>
                <w:kern w:val="0"/>
                <w:sz w:val="22"/>
                <w:szCs w:val="22"/>
              </w:rPr>
              <w:t>示值不确定度</w:t>
            </w:r>
          </w:p>
        </w:tc>
        <w:tc>
          <w:tcPr>
            <w:tcW w:w="349" w:type="pct"/>
            <w:tcBorders>
              <w:top w:val="nil"/>
              <w:left w:val="nil"/>
              <w:bottom w:val="single" w:color="auto" w:sz="4" w:space="0"/>
              <w:right w:val="single" w:color="auto" w:sz="4" w:space="0"/>
            </w:tcBorders>
            <w:noWrap/>
            <w:vAlign w:val="center"/>
          </w:tcPr>
          <w:p w14:paraId="26814781">
            <w:pPr>
              <w:ind w:left="0"/>
              <w:jc w:val="center"/>
              <w:rPr>
                <w:color w:val="000000"/>
                <w:kern w:val="0"/>
                <w:sz w:val="22"/>
                <w:szCs w:val="22"/>
              </w:rPr>
            </w:pPr>
          </w:p>
        </w:tc>
        <w:tc>
          <w:tcPr>
            <w:tcW w:w="155" w:type="pct"/>
            <w:tcBorders>
              <w:top w:val="nil"/>
              <w:left w:val="nil"/>
              <w:bottom w:val="single" w:color="auto" w:sz="4" w:space="0"/>
              <w:right w:val="single" w:color="auto" w:sz="4" w:space="0"/>
            </w:tcBorders>
            <w:noWrap/>
            <w:vAlign w:val="center"/>
          </w:tcPr>
          <w:p w14:paraId="48A0DE94">
            <w:pPr>
              <w:ind w:left="0"/>
              <w:jc w:val="center"/>
              <w:rPr>
                <w:color w:val="000000"/>
                <w:kern w:val="0"/>
                <w:sz w:val="22"/>
                <w:szCs w:val="22"/>
              </w:rPr>
            </w:pPr>
            <w:r>
              <w:rPr>
                <w:color w:val="000000"/>
                <w:kern w:val="0"/>
                <w:sz w:val="22"/>
                <w:szCs w:val="22"/>
              </w:rPr>
              <w:t>kg</w:t>
            </w:r>
          </w:p>
        </w:tc>
        <w:tc>
          <w:tcPr>
            <w:tcW w:w="432" w:type="pct"/>
            <w:tcBorders>
              <w:top w:val="nil"/>
              <w:left w:val="nil"/>
              <w:bottom w:val="single" w:color="auto" w:sz="4" w:space="0"/>
              <w:right w:val="single" w:color="auto" w:sz="4" w:space="0"/>
            </w:tcBorders>
            <w:noWrap/>
            <w:vAlign w:val="center"/>
          </w:tcPr>
          <w:p w14:paraId="5E87AEE0">
            <w:pPr>
              <w:jc w:val="center"/>
              <w:textAlignment w:val="center"/>
              <w:rPr>
                <w:color w:val="000000"/>
                <w:kern w:val="0"/>
                <w:sz w:val="22"/>
                <w:szCs w:val="22"/>
              </w:rPr>
            </w:pPr>
            <w:r>
              <w:rPr>
                <w:color w:val="000000"/>
                <w:kern w:val="0"/>
                <w:sz w:val="22"/>
                <w:szCs w:val="22"/>
                <w:lang w:bidi="ar"/>
              </w:rPr>
              <w:t xml:space="preserve">0.033 </w:t>
            </w:r>
          </w:p>
        </w:tc>
        <w:tc>
          <w:tcPr>
            <w:tcW w:w="432" w:type="pct"/>
            <w:tcBorders>
              <w:top w:val="nil"/>
              <w:left w:val="nil"/>
              <w:bottom w:val="single" w:color="auto" w:sz="4" w:space="0"/>
              <w:right w:val="single" w:color="auto" w:sz="4" w:space="0"/>
            </w:tcBorders>
            <w:noWrap/>
            <w:vAlign w:val="center"/>
          </w:tcPr>
          <w:p w14:paraId="164CC2C9">
            <w:pPr>
              <w:jc w:val="center"/>
              <w:textAlignment w:val="center"/>
              <w:rPr>
                <w:color w:val="000000"/>
                <w:kern w:val="0"/>
                <w:sz w:val="22"/>
                <w:szCs w:val="22"/>
              </w:rPr>
            </w:pPr>
            <w:r>
              <w:rPr>
                <w:color w:val="000000"/>
                <w:kern w:val="0"/>
                <w:sz w:val="22"/>
                <w:szCs w:val="22"/>
                <w:lang w:bidi="ar"/>
              </w:rPr>
              <w:t xml:space="preserve">0.034 </w:t>
            </w:r>
          </w:p>
        </w:tc>
        <w:tc>
          <w:tcPr>
            <w:tcW w:w="432" w:type="pct"/>
            <w:tcBorders>
              <w:top w:val="nil"/>
              <w:left w:val="nil"/>
              <w:bottom w:val="single" w:color="auto" w:sz="4" w:space="0"/>
              <w:right w:val="single" w:color="auto" w:sz="4" w:space="0"/>
            </w:tcBorders>
            <w:noWrap/>
            <w:vAlign w:val="center"/>
          </w:tcPr>
          <w:p w14:paraId="19D952B8">
            <w:pPr>
              <w:jc w:val="center"/>
              <w:textAlignment w:val="center"/>
              <w:rPr>
                <w:color w:val="000000"/>
                <w:kern w:val="0"/>
                <w:sz w:val="22"/>
                <w:szCs w:val="22"/>
              </w:rPr>
            </w:pPr>
            <w:r>
              <w:rPr>
                <w:color w:val="000000"/>
                <w:kern w:val="0"/>
                <w:sz w:val="22"/>
                <w:szCs w:val="22"/>
                <w:lang w:bidi="ar"/>
              </w:rPr>
              <w:t xml:space="preserve">0.036 </w:t>
            </w:r>
          </w:p>
        </w:tc>
        <w:tc>
          <w:tcPr>
            <w:tcW w:w="432" w:type="pct"/>
            <w:tcBorders>
              <w:top w:val="single" w:color="auto" w:sz="4" w:space="0"/>
              <w:left w:val="nil"/>
              <w:bottom w:val="single" w:color="auto" w:sz="4" w:space="0"/>
              <w:right w:val="single" w:color="auto" w:sz="4" w:space="0"/>
            </w:tcBorders>
            <w:vAlign w:val="center"/>
          </w:tcPr>
          <w:p w14:paraId="41470B13">
            <w:pPr>
              <w:ind w:left="0"/>
              <w:jc w:val="center"/>
              <w:rPr>
                <w:color w:val="000000"/>
                <w:kern w:val="0"/>
                <w:sz w:val="22"/>
                <w:szCs w:val="22"/>
              </w:rPr>
            </w:pPr>
            <w:r>
              <w:rPr>
                <w:color w:val="000000"/>
                <w:kern w:val="0"/>
                <w:sz w:val="22"/>
                <w:szCs w:val="22"/>
              </w:rPr>
              <w:t>······</w:t>
            </w:r>
          </w:p>
        </w:tc>
        <w:tc>
          <w:tcPr>
            <w:tcW w:w="432" w:type="pct"/>
            <w:tcBorders>
              <w:top w:val="single" w:color="auto" w:sz="4" w:space="0"/>
              <w:left w:val="single" w:color="auto" w:sz="4" w:space="0"/>
              <w:bottom w:val="single" w:color="auto" w:sz="4" w:space="0"/>
              <w:right w:val="single" w:color="auto" w:sz="4" w:space="0"/>
            </w:tcBorders>
            <w:noWrap/>
            <w:vAlign w:val="center"/>
          </w:tcPr>
          <w:p w14:paraId="5D80B483">
            <w:pPr>
              <w:jc w:val="center"/>
              <w:textAlignment w:val="center"/>
              <w:rPr>
                <w:color w:val="000000"/>
                <w:kern w:val="0"/>
                <w:sz w:val="22"/>
                <w:szCs w:val="22"/>
              </w:rPr>
            </w:pPr>
            <w:r>
              <w:rPr>
                <w:color w:val="000000"/>
                <w:kern w:val="0"/>
                <w:sz w:val="22"/>
                <w:szCs w:val="22"/>
                <w:lang w:bidi="ar"/>
              </w:rPr>
              <w:t xml:space="preserve">0.079 </w:t>
            </w:r>
          </w:p>
        </w:tc>
        <w:tc>
          <w:tcPr>
            <w:tcW w:w="432" w:type="pct"/>
            <w:tcBorders>
              <w:top w:val="nil"/>
              <w:left w:val="nil"/>
              <w:bottom w:val="single" w:color="auto" w:sz="4" w:space="0"/>
              <w:right w:val="single" w:color="auto" w:sz="4" w:space="0"/>
            </w:tcBorders>
            <w:noWrap/>
            <w:vAlign w:val="center"/>
          </w:tcPr>
          <w:p w14:paraId="2D99F2E9">
            <w:pPr>
              <w:jc w:val="center"/>
              <w:textAlignment w:val="center"/>
              <w:rPr>
                <w:color w:val="000000"/>
                <w:kern w:val="0"/>
                <w:sz w:val="22"/>
                <w:szCs w:val="22"/>
              </w:rPr>
            </w:pPr>
            <w:r>
              <w:rPr>
                <w:color w:val="000000"/>
                <w:kern w:val="0"/>
                <w:sz w:val="22"/>
                <w:szCs w:val="22"/>
                <w:lang w:bidi="ar"/>
              </w:rPr>
              <w:t xml:space="preserve">0.085 </w:t>
            </w:r>
          </w:p>
        </w:tc>
        <w:tc>
          <w:tcPr>
            <w:tcW w:w="432" w:type="pct"/>
            <w:tcBorders>
              <w:top w:val="nil"/>
              <w:left w:val="nil"/>
              <w:bottom w:val="single" w:color="auto" w:sz="4" w:space="0"/>
              <w:right w:val="single" w:color="auto" w:sz="4" w:space="0"/>
            </w:tcBorders>
            <w:noWrap/>
            <w:vAlign w:val="center"/>
          </w:tcPr>
          <w:p w14:paraId="0608AF03">
            <w:pPr>
              <w:jc w:val="center"/>
              <w:textAlignment w:val="center"/>
              <w:rPr>
                <w:color w:val="000000"/>
                <w:kern w:val="0"/>
                <w:sz w:val="22"/>
                <w:szCs w:val="22"/>
              </w:rPr>
            </w:pPr>
            <w:r>
              <w:rPr>
                <w:color w:val="000000"/>
                <w:kern w:val="0"/>
                <w:sz w:val="22"/>
                <w:szCs w:val="22"/>
                <w:lang w:bidi="ar"/>
              </w:rPr>
              <w:t xml:space="preserve">0.092 </w:t>
            </w:r>
          </w:p>
        </w:tc>
        <w:tc>
          <w:tcPr>
            <w:tcW w:w="433" w:type="pct"/>
            <w:tcBorders>
              <w:top w:val="nil"/>
              <w:left w:val="nil"/>
              <w:bottom w:val="single" w:color="auto" w:sz="4" w:space="0"/>
              <w:right w:val="single" w:color="auto" w:sz="4" w:space="0"/>
            </w:tcBorders>
            <w:noWrap/>
            <w:vAlign w:val="center"/>
          </w:tcPr>
          <w:p w14:paraId="162EBBD1">
            <w:pPr>
              <w:jc w:val="center"/>
              <w:textAlignment w:val="center"/>
              <w:rPr>
                <w:color w:val="000000"/>
                <w:kern w:val="0"/>
                <w:sz w:val="22"/>
                <w:szCs w:val="22"/>
              </w:rPr>
            </w:pPr>
            <w:r>
              <w:rPr>
                <w:color w:val="000000"/>
                <w:kern w:val="0"/>
                <w:sz w:val="22"/>
                <w:szCs w:val="22"/>
                <w:lang w:bidi="ar"/>
              </w:rPr>
              <w:t xml:space="preserve">0.099 </w:t>
            </w:r>
          </w:p>
        </w:tc>
      </w:tr>
      <w:tr w14:paraId="0A794FD3">
        <w:tblPrEx>
          <w:tblCellMar>
            <w:top w:w="0" w:type="dxa"/>
            <w:left w:w="108" w:type="dxa"/>
            <w:bottom w:w="0" w:type="dxa"/>
            <w:right w:w="108" w:type="dxa"/>
          </w:tblCellMar>
        </w:tblPrEx>
        <w:trPr>
          <w:trHeight w:val="440" w:hRule="atLeast"/>
        </w:trPr>
        <w:tc>
          <w:tcPr>
            <w:tcW w:w="1032" w:type="pct"/>
            <w:tcBorders>
              <w:top w:val="nil"/>
              <w:left w:val="single" w:color="auto" w:sz="4" w:space="0"/>
              <w:bottom w:val="single" w:color="auto" w:sz="4" w:space="0"/>
              <w:right w:val="single" w:color="auto" w:sz="4" w:space="0"/>
            </w:tcBorders>
            <w:noWrap/>
            <w:vAlign w:val="center"/>
          </w:tcPr>
          <w:p w14:paraId="73F3B570">
            <w:pPr>
              <w:ind w:left="0"/>
              <w:jc w:val="center"/>
              <w:rPr>
                <w:rFonts w:hint="eastAsia" w:ascii="宋体" w:hAnsi="宋体" w:cs="宋体"/>
                <w:color w:val="000000"/>
                <w:kern w:val="0"/>
                <w:sz w:val="22"/>
                <w:szCs w:val="22"/>
              </w:rPr>
            </w:pPr>
            <w:r>
              <w:rPr>
                <w:rFonts w:hint="eastAsia" w:ascii="宋体" w:hAnsi="宋体" w:cs="宋体"/>
                <w:color w:val="000000"/>
                <w:kern w:val="0"/>
                <w:sz w:val="22"/>
                <w:szCs w:val="22"/>
              </w:rPr>
              <w:t>标准砝码不确定度</w:t>
            </w:r>
          </w:p>
        </w:tc>
        <w:tc>
          <w:tcPr>
            <w:tcW w:w="349" w:type="pct"/>
            <w:tcBorders>
              <w:top w:val="nil"/>
              <w:left w:val="nil"/>
              <w:bottom w:val="nil"/>
              <w:right w:val="nil"/>
            </w:tcBorders>
            <w:noWrap/>
            <w:vAlign w:val="center"/>
          </w:tcPr>
          <w:p w14:paraId="67848983">
            <w:pPr>
              <w:ind w:left="0"/>
              <w:jc w:val="center"/>
              <w:rPr>
                <w:rFonts w:hint="eastAsia" w:ascii="宋体" w:hAnsi="宋体" w:cs="宋体"/>
                <w:color w:val="000000"/>
                <w:kern w:val="0"/>
                <w:sz w:val="22"/>
                <w:szCs w:val="22"/>
              </w:rPr>
            </w:pPr>
          </w:p>
        </w:tc>
        <w:tc>
          <w:tcPr>
            <w:tcW w:w="155" w:type="pct"/>
            <w:tcBorders>
              <w:top w:val="nil"/>
              <w:left w:val="single" w:color="auto" w:sz="4" w:space="0"/>
              <w:bottom w:val="single" w:color="auto" w:sz="4" w:space="0"/>
              <w:right w:val="single" w:color="auto" w:sz="4" w:space="0"/>
            </w:tcBorders>
            <w:noWrap/>
            <w:vAlign w:val="center"/>
          </w:tcPr>
          <w:p w14:paraId="629C624B">
            <w:pPr>
              <w:ind w:left="0"/>
              <w:jc w:val="center"/>
              <w:rPr>
                <w:color w:val="000000"/>
                <w:kern w:val="0"/>
                <w:sz w:val="22"/>
                <w:szCs w:val="22"/>
              </w:rPr>
            </w:pPr>
            <w:r>
              <w:rPr>
                <w:color w:val="000000"/>
                <w:kern w:val="0"/>
                <w:sz w:val="22"/>
                <w:szCs w:val="22"/>
              </w:rPr>
              <w:t>kg</w:t>
            </w:r>
          </w:p>
        </w:tc>
        <w:tc>
          <w:tcPr>
            <w:tcW w:w="3462" w:type="pct"/>
            <w:gridSpan w:val="8"/>
            <w:tcBorders>
              <w:top w:val="single" w:color="auto" w:sz="4" w:space="0"/>
              <w:left w:val="nil"/>
              <w:bottom w:val="single" w:color="auto" w:sz="4" w:space="0"/>
              <w:right w:val="single" w:color="auto" w:sz="4" w:space="0"/>
            </w:tcBorders>
            <w:vAlign w:val="center"/>
          </w:tcPr>
          <w:p w14:paraId="2473D32E">
            <w:pPr>
              <w:ind w:left="0"/>
              <w:jc w:val="center"/>
              <w:rPr>
                <w:color w:val="000000"/>
                <w:kern w:val="0"/>
                <w:sz w:val="22"/>
                <w:szCs w:val="22"/>
              </w:rPr>
            </w:pPr>
            <w:r>
              <w:rPr>
                <w:color w:val="000000"/>
                <w:kern w:val="0"/>
                <w:sz w:val="22"/>
                <w:szCs w:val="22"/>
              </w:rPr>
              <w:t>0.00</w:t>
            </w:r>
            <w:r>
              <w:rPr>
                <w:rFonts w:hint="eastAsia"/>
                <w:color w:val="000000"/>
                <w:kern w:val="0"/>
                <w:sz w:val="22"/>
                <w:szCs w:val="22"/>
              </w:rPr>
              <w:t>1</w:t>
            </w:r>
          </w:p>
        </w:tc>
      </w:tr>
      <w:tr w14:paraId="0C71FB6B">
        <w:tblPrEx>
          <w:tblCellMar>
            <w:top w:w="0" w:type="dxa"/>
            <w:left w:w="108" w:type="dxa"/>
            <w:bottom w:w="0" w:type="dxa"/>
            <w:right w:w="108" w:type="dxa"/>
          </w:tblCellMar>
        </w:tblPrEx>
        <w:trPr>
          <w:trHeight w:val="440" w:hRule="atLeast"/>
        </w:trPr>
        <w:tc>
          <w:tcPr>
            <w:tcW w:w="1032" w:type="pct"/>
            <w:tcBorders>
              <w:top w:val="nil"/>
              <w:left w:val="single" w:color="auto" w:sz="4" w:space="0"/>
              <w:bottom w:val="single" w:color="auto" w:sz="4" w:space="0"/>
              <w:right w:val="single" w:color="auto" w:sz="4" w:space="0"/>
            </w:tcBorders>
            <w:noWrap/>
            <w:vAlign w:val="center"/>
          </w:tcPr>
          <w:p w14:paraId="6AF80966">
            <w:pPr>
              <w:ind w:left="0"/>
              <w:jc w:val="center"/>
              <w:rPr>
                <w:rFonts w:hint="eastAsia" w:ascii="宋体" w:hAnsi="宋体" w:cs="宋体"/>
                <w:color w:val="000000"/>
                <w:kern w:val="0"/>
                <w:sz w:val="22"/>
                <w:szCs w:val="22"/>
              </w:rPr>
            </w:pPr>
            <w:r>
              <w:rPr>
                <w:rFonts w:hint="eastAsia" w:ascii="宋体" w:hAnsi="宋体" w:cs="宋体"/>
                <w:color w:val="000000"/>
                <w:kern w:val="0"/>
                <w:sz w:val="22"/>
                <w:szCs w:val="22"/>
              </w:rPr>
              <w:t>试验载荷的不确定度</w:t>
            </w:r>
          </w:p>
        </w:tc>
        <w:tc>
          <w:tcPr>
            <w:tcW w:w="349" w:type="pct"/>
            <w:tcBorders>
              <w:top w:val="single" w:color="auto" w:sz="4" w:space="0"/>
              <w:left w:val="nil"/>
              <w:bottom w:val="single" w:color="auto" w:sz="4" w:space="0"/>
              <w:right w:val="single" w:color="auto" w:sz="4" w:space="0"/>
            </w:tcBorders>
            <w:noWrap/>
            <w:vAlign w:val="center"/>
          </w:tcPr>
          <w:p w14:paraId="488D6D4A">
            <w:pPr>
              <w:ind w:left="0"/>
              <w:jc w:val="center"/>
              <w:rPr>
                <w:color w:val="000000"/>
                <w:kern w:val="0"/>
                <w:sz w:val="22"/>
                <w:szCs w:val="22"/>
              </w:rPr>
            </w:pPr>
          </w:p>
        </w:tc>
        <w:tc>
          <w:tcPr>
            <w:tcW w:w="155" w:type="pct"/>
            <w:tcBorders>
              <w:top w:val="nil"/>
              <w:left w:val="nil"/>
              <w:bottom w:val="single" w:color="auto" w:sz="4" w:space="0"/>
              <w:right w:val="single" w:color="auto" w:sz="4" w:space="0"/>
            </w:tcBorders>
            <w:noWrap/>
            <w:vAlign w:val="center"/>
          </w:tcPr>
          <w:p w14:paraId="74A684A0">
            <w:pPr>
              <w:ind w:left="0"/>
              <w:jc w:val="center"/>
              <w:rPr>
                <w:color w:val="000000"/>
                <w:kern w:val="0"/>
                <w:sz w:val="22"/>
                <w:szCs w:val="22"/>
              </w:rPr>
            </w:pPr>
            <w:r>
              <w:rPr>
                <w:color w:val="000000"/>
                <w:kern w:val="0"/>
                <w:sz w:val="22"/>
                <w:szCs w:val="22"/>
              </w:rPr>
              <w:t>kg</w:t>
            </w:r>
          </w:p>
        </w:tc>
        <w:tc>
          <w:tcPr>
            <w:tcW w:w="432" w:type="pct"/>
            <w:tcBorders>
              <w:top w:val="single" w:color="auto" w:sz="4" w:space="0"/>
              <w:left w:val="nil"/>
              <w:bottom w:val="single" w:color="auto" w:sz="4" w:space="0"/>
              <w:right w:val="single" w:color="auto" w:sz="4" w:space="0"/>
            </w:tcBorders>
            <w:noWrap/>
            <w:vAlign w:val="center"/>
          </w:tcPr>
          <w:p w14:paraId="333AD8AD">
            <w:pPr>
              <w:jc w:val="center"/>
              <w:textAlignment w:val="center"/>
              <w:rPr>
                <w:color w:val="000000"/>
                <w:kern w:val="0"/>
                <w:sz w:val="22"/>
                <w:szCs w:val="22"/>
              </w:rPr>
            </w:pPr>
            <w:r>
              <w:rPr>
                <w:color w:val="000000"/>
                <w:kern w:val="0"/>
                <w:sz w:val="22"/>
                <w:szCs w:val="22"/>
                <w:lang w:bidi="ar"/>
              </w:rPr>
              <w:t xml:space="preserve">0.001 </w:t>
            </w:r>
          </w:p>
        </w:tc>
        <w:tc>
          <w:tcPr>
            <w:tcW w:w="432" w:type="pct"/>
            <w:tcBorders>
              <w:top w:val="single" w:color="auto" w:sz="4" w:space="0"/>
              <w:left w:val="nil"/>
              <w:bottom w:val="single" w:color="auto" w:sz="4" w:space="0"/>
              <w:right w:val="single" w:color="auto" w:sz="4" w:space="0"/>
            </w:tcBorders>
            <w:noWrap/>
            <w:vAlign w:val="center"/>
          </w:tcPr>
          <w:p w14:paraId="739723B6">
            <w:pPr>
              <w:jc w:val="center"/>
              <w:textAlignment w:val="center"/>
              <w:rPr>
                <w:kern w:val="0"/>
                <w:sz w:val="22"/>
                <w:szCs w:val="22"/>
              </w:rPr>
            </w:pPr>
            <w:r>
              <w:rPr>
                <w:color w:val="000000"/>
                <w:kern w:val="0"/>
                <w:sz w:val="22"/>
                <w:szCs w:val="22"/>
                <w:lang w:bidi="ar"/>
              </w:rPr>
              <w:t xml:space="preserve">0.047 </w:t>
            </w:r>
          </w:p>
        </w:tc>
        <w:tc>
          <w:tcPr>
            <w:tcW w:w="432" w:type="pct"/>
            <w:tcBorders>
              <w:top w:val="single" w:color="auto" w:sz="4" w:space="0"/>
              <w:left w:val="nil"/>
              <w:bottom w:val="single" w:color="auto" w:sz="4" w:space="0"/>
              <w:right w:val="single" w:color="auto" w:sz="4" w:space="0"/>
            </w:tcBorders>
            <w:noWrap/>
            <w:vAlign w:val="center"/>
          </w:tcPr>
          <w:p w14:paraId="0841E62C">
            <w:pPr>
              <w:jc w:val="center"/>
              <w:textAlignment w:val="center"/>
              <w:rPr>
                <w:kern w:val="0"/>
                <w:sz w:val="22"/>
                <w:szCs w:val="22"/>
              </w:rPr>
            </w:pPr>
            <w:r>
              <w:rPr>
                <w:color w:val="000000"/>
                <w:kern w:val="0"/>
                <w:sz w:val="22"/>
                <w:szCs w:val="22"/>
                <w:lang w:bidi="ar"/>
              </w:rPr>
              <w:t xml:space="preserve">0.067 </w:t>
            </w:r>
          </w:p>
        </w:tc>
        <w:tc>
          <w:tcPr>
            <w:tcW w:w="432" w:type="pct"/>
            <w:tcBorders>
              <w:top w:val="single" w:color="auto" w:sz="4" w:space="0"/>
              <w:left w:val="nil"/>
              <w:bottom w:val="single" w:color="auto" w:sz="4" w:space="0"/>
              <w:right w:val="single" w:color="auto" w:sz="4" w:space="0"/>
            </w:tcBorders>
            <w:vAlign w:val="center"/>
          </w:tcPr>
          <w:p w14:paraId="6327CC92">
            <w:pPr>
              <w:ind w:left="0"/>
              <w:jc w:val="center"/>
              <w:rPr>
                <w:kern w:val="0"/>
                <w:sz w:val="22"/>
                <w:szCs w:val="22"/>
              </w:rPr>
            </w:pPr>
            <w:r>
              <w:rPr>
                <w:color w:val="000000"/>
                <w:kern w:val="0"/>
                <w:sz w:val="22"/>
                <w:szCs w:val="22"/>
              </w:rPr>
              <w:t>······</w:t>
            </w:r>
          </w:p>
        </w:tc>
        <w:tc>
          <w:tcPr>
            <w:tcW w:w="432" w:type="pct"/>
            <w:tcBorders>
              <w:top w:val="single" w:color="auto" w:sz="4" w:space="0"/>
              <w:left w:val="single" w:color="auto" w:sz="4" w:space="0"/>
              <w:bottom w:val="single" w:color="auto" w:sz="4" w:space="0"/>
              <w:right w:val="single" w:color="auto" w:sz="4" w:space="0"/>
            </w:tcBorders>
            <w:noWrap/>
            <w:vAlign w:val="center"/>
          </w:tcPr>
          <w:p w14:paraId="08DFEBC9">
            <w:pPr>
              <w:jc w:val="center"/>
              <w:textAlignment w:val="center"/>
              <w:rPr>
                <w:kern w:val="0"/>
                <w:sz w:val="22"/>
                <w:szCs w:val="22"/>
              </w:rPr>
            </w:pPr>
            <w:r>
              <w:rPr>
                <w:color w:val="000000"/>
                <w:kern w:val="0"/>
                <w:sz w:val="22"/>
                <w:szCs w:val="22"/>
                <w:lang w:bidi="ar"/>
              </w:rPr>
              <w:t xml:space="preserve">0.228 </w:t>
            </w:r>
          </w:p>
        </w:tc>
        <w:tc>
          <w:tcPr>
            <w:tcW w:w="432" w:type="pct"/>
            <w:tcBorders>
              <w:top w:val="single" w:color="auto" w:sz="4" w:space="0"/>
              <w:left w:val="nil"/>
              <w:bottom w:val="single" w:color="auto" w:sz="4" w:space="0"/>
              <w:right w:val="single" w:color="auto" w:sz="4" w:space="0"/>
            </w:tcBorders>
            <w:noWrap/>
            <w:vAlign w:val="center"/>
          </w:tcPr>
          <w:p w14:paraId="11654355">
            <w:pPr>
              <w:jc w:val="center"/>
              <w:textAlignment w:val="center"/>
              <w:rPr>
                <w:kern w:val="0"/>
                <w:sz w:val="22"/>
                <w:szCs w:val="22"/>
              </w:rPr>
            </w:pPr>
            <w:r>
              <w:rPr>
                <w:color w:val="000000"/>
                <w:kern w:val="0"/>
                <w:sz w:val="22"/>
                <w:szCs w:val="22"/>
                <w:lang w:bidi="ar"/>
              </w:rPr>
              <w:t xml:space="preserve">0.254 </w:t>
            </w:r>
          </w:p>
        </w:tc>
        <w:tc>
          <w:tcPr>
            <w:tcW w:w="432" w:type="pct"/>
            <w:tcBorders>
              <w:top w:val="single" w:color="auto" w:sz="4" w:space="0"/>
              <w:left w:val="nil"/>
              <w:bottom w:val="single" w:color="auto" w:sz="4" w:space="0"/>
              <w:right w:val="single" w:color="auto" w:sz="4" w:space="0"/>
            </w:tcBorders>
            <w:noWrap/>
            <w:vAlign w:val="center"/>
          </w:tcPr>
          <w:p w14:paraId="74D4C807">
            <w:pPr>
              <w:jc w:val="center"/>
              <w:textAlignment w:val="center"/>
              <w:rPr>
                <w:kern w:val="0"/>
                <w:sz w:val="22"/>
                <w:szCs w:val="22"/>
              </w:rPr>
            </w:pPr>
            <w:r>
              <w:rPr>
                <w:color w:val="000000"/>
                <w:kern w:val="0"/>
                <w:sz w:val="22"/>
                <w:szCs w:val="22"/>
                <w:lang w:bidi="ar"/>
              </w:rPr>
              <w:t xml:space="preserve">0.281 </w:t>
            </w:r>
          </w:p>
        </w:tc>
        <w:tc>
          <w:tcPr>
            <w:tcW w:w="433" w:type="pct"/>
            <w:tcBorders>
              <w:top w:val="single" w:color="auto" w:sz="4" w:space="0"/>
              <w:left w:val="nil"/>
              <w:bottom w:val="single" w:color="auto" w:sz="4" w:space="0"/>
              <w:right w:val="single" w:color="auto" w:sz="4" w:space="0"/>
            </w:tcBorders>
            <w:noWrap/>
            <w:vAlign w:val="center"/>
          </w:tcPr>
          <w:p w14:paraId="220A9E92">
            <w:pPr>
              <w:jc w:val="center"/>
              <w:textAlignment w:val="center"/>
              <w:rPr>
                <w:kern w:val="0"/>
                <w:sz w:val="22"/>
                <w:szCs w:val="22"/>
              </w:rPr>
            </w:pPr>
            <w:r>
              <w:rPr>
                <w:color w:val="000000"/>
                <w:kern w:val="0"/>
                <w:sz w:val="22"/>
                <w:szCs w:val="22"/>
                <w:lang w:bidi="ar"/>
              </w:rPr>
              <w:t xml:space="preserve">0.310 </w:t>
            </w:r>
          </w:p>
        </w:tc>
      </w:tr>
      <w:tr w14:paraId="4237E8BE">
        <w:tblPrEx>
          <w:tblCellMar>
            <w:top w:w="0" w:type="dxa"/>
            <w:left w:w="108" w:type="dxa"/>
            <w:bottom w:w="0" w:type="dxa"/>
            <w:right w:w="108" w:type="dxa"/>
          </w:tblCellMar>
        </w:tblPrEx>
        <w:trPr>
          <w:trHeight w:val="440" w:hRule="atLeast"/>
        </w:trPr>
        <w:tc>
          <w:tcPr>
            <w:tcW w:w="1032" w:type="pct"/>
            <w:tcBorders>
              <w:top w:val="nil"/>
              <w:left w:val="single" w:color="auto" w:sz="4" w:space="0"/>
              <w:bottom w:val="single" w:color="auto" w:sz="4" w:space="0"/>
              <w:right w:val="single" w:color="auto" w:sz="4" w:space="0"/>
            </w:tcBorders>
            <w:noWrap/>
            <w:vAlign w:val="center"/>
          </w:tcPr>
          <w:p w14:paraId="0BC6EA14">
            <w:pPr>
              <w:ind w:left="0"/>
              <w:jc w:val="center"/>
              <w:rPr>
                <w:rFonts w:hint="eastAsia" w:ascii="宋体" w:hAnsi="宋体" w:cs="宋体"/>
                <w:color w:val="000000"/>
                <w:kern w:val="0"/>
                <w:sz w:val="22"/>
                <w:szCs w:val="22"/>
              </w:rPr>
            </w:pPr>
            <w:r>
              <w:rPr>
                <w:rFonts w:hint="eastAsia" w:ascii="宋体" w:hAnsi="宋体" w:cs="宋体"/>
                <w:color w:val="000000"/>
                <w:kern w:val="0"/>
                <w:sz w:val="22"/>
                <w:szCs w:val="22"/>
              </w:rPr>
              <w:t>标准误差不确定度</w:t>
            </w:r>
          </w:p>
        </w:tc>
        <w:tc>
          <w:tcPr>
            <w:tcW w:w="349" w:type="pct"/>
            <w:tcBorders>
              <w:top w:val="nil"/>
              <w:left w:val="nil"/>
              <w:bottom w:val="nil"/>
              <w:right w:val="nil"/>
            </w:tcBorders>
            <w:noWrap/>
            <w:vAlign w:val="center"/>
          </w:tcPr>
          <w:p w14:paraId="690EA933">
            <w:pPr>
              <w:ind w:left="0"/>
              <w:jc w:val="center"/>
              <w:rPr>
                <w:rFonts w:hint="eastAsia" w:ascii="宋体" w:hAnsi="宋体" w:cs="宋体"/>
                <w:color w:val="000000"/>
                <w:kern w:val="0"/>
                <w:sz w:val="22"/>
                <w:szCs w:val="22"/>
              </w:rPr>
            </w:pPr>
          </w:p>
        </w:tc>
        <w:tc>
          <w:tcPr>
            <w:tcW w:w="155" w:type="pct"/>
            <w:tcBorders>
              <w:top w:val="nil"/>
              <w:left w:val="single" w:color="auto" w:sz="4" w:space="0"/>
              <w:bottom w:val="single" w:color="auto" w:sz="4" w:space="0"/>
              <w:right w:val="single" w:color="auto" w:sz="4" w:space="0"/>
            </w:tcBorders>
            <w:noWrap/>
            <w:vAlign w:val="center"/>
          </w:tcPr>
          <w:p w14:paraId="727E029C">
            <w:pPr>
              <w:ind w:left="0"/>
              <w:jc w:val="center"/>
              <w:rPr>
                <w:color w:val="000000"/>
                <w:kern w:val="0"/>
                <w:sz w:val="22"/>
                <w:szCs w:val="22"/>
              </w:rPr>
            </w:pPr>
            <w:r>
              <w:rPr>
                <w:color w:val="000000"/>
                <w:kern w:val="0"/>
                <w:sz w:val="22"/>
                <w:szCs w:val="22"/>
              </w:rPr>
              <w:t>kg</w:t>
            </w:r>
          </w:p>
        </w:tc>
        <w:tc>
          <w:tcPr>
            <w:tcW w:w="432" w:type="pct"/>
            <w:tcBorders>
              <w:top w:val="nil"/>
              <w:left w:val="nil"/>
              <w:bottom w:val="single" w:color="auto" w:sz="4" w:space="0"/>
              <w:right w:val="single" w:color="auto" w:sz="4" w:space="0"/>
            </w:tcBorders>
            <w:noWrap/>
            <w:vAlign w:val="center"/>
          </w:tcPr>
          <w:p w14:paraId="673708E4">
            <w:pPr>
              <w:jc w:val="center"/>
              <w:textAlignment w:val="center"/>
              <w:rPr>
                <w:color w:val="000000"/>
                <w:kern w:val="0"/>
                <w:sz w:val="22"/>
                <w:szCs w:val="22"/>
              </w:rPr>
            </w:pPr>
            <w:r>
              <w:rPr>
                <w:color w:val="000000"/>
                <w:kern w:val="0"/>
                <w:sz w:val="22"/>
                <w:szCs w:val="22"/>
                <w:lang w:bidi="ar"/>
              </w:rPr>
              <w:t xml:space="preserve">0.033 </w:t>
            </w:r>
          </w:p>
        </w:tc>
        <w:tc>
          <w:tcPr>
            <w:tcW w:w="432" w:type="pct"/>
            <w:tcBorders>
              <w:top w:val="nil"/>
              <w:left w:val="nil"/>
              <w:bottom w:val="single" w:color="auto" w:sz="4" w:space="0"/>
              <w:right w:val="single" w:color="auto" w:sz="4" w:space="0"/>
            </w:tcBorders>
            <w:noWrap/>
            <w:vAlign w:val="center"/>
          </w:tcPr>
          <w:p w14:paraId="455CF429">
            <w:pPr>
              <w:jc w:val="center"/>
              <w:textAlignment w:val="center"/>
              <w:rPr>
                <w:color w:val="000000"/>
                <w:kern w:val="0"/>
                <w:sz w:val="22"/>
                <w:szCs w:val="22"/>
              </w:rPr>
            </w:pPr>
            <w:r>
              <w:rPr>
                <w:color w:val="000000"/>
                <w:kern w:val="0"/>
                <w:sz w:val="22"/>
                <w:szCs w:val="22"/>
                <w:lang w:bidi="ar"/>
              </w:rPr>
              <w:t xml:space="preserve">0.058 </w:t>
            </w:r>
          </w:p>
        </w:tc>
        <w:tc>
          <w:tcPr>
            <w:tcW w:w="432" w:type="pct"/>
            <w:tcBorders>
              <w:top w:val="nil"/>
              <w:left w:val="nil"/>
              <w:bottom w:val="single" w:color="auto" w:sz="4" w:space="0"/>
              <w:right w:val="single" w:color="auto" w:sz="4" w:space="0"/>
            </w:tcBorders>
            <w:noWrap/>
            <w:vAlign w:val="center"/>
          </w:tcPr>
          <w:p w14:paraId="1A0FA0DD">
            <w:pPr>
              <w:jc w:val="center"/>
              <w:textAlignment w:val="center"/>
              <w:rPr>
                <w:color w:val="000000"/>
                <w:kern w:val="0"/>
                <w:sz w:val="22"/>
                <w:szCs w:val="22"/>
              </w:rPr>
            </w:pPr>
            <w:r>
              <w:rPr>
                <w:color w:val="000000"/>
                <w:kern w:val="0"/>
                <w:sz w:val="22"/>
                <w:szCs w:val="22"/>
                <w:lang w:bidi="ar"/>
              </w:rPr>
              <w:t xml:space="preserve">0.076 </w:t>
            </w:r>
          </w:p>
        </w:tc>
        <w:tc>
          <w:tcPr>
            <w:tcW w:w="432" w:type="pct"/>
            <w:tcBorders>
              <w:top w:val="single" w:color="auto" w:sz="4" w:space="0"/>
              <w:left w:val="nil"/>
              <w:bottom w:val="single" w:color="auto" w:sz="4" w:space="0"/>
              <w:right w:val="single" w:color="auto" w:sz="4" w:space="0"/>
            </w:tcBorders>
            <w:vAlign w:val="center"/>
          </w:tcPr>
          <w:p w14:paraId="649AFB33">
            <w:pPr>
              <w:ind w:left="0"/>
              <w:jc w:val="center"/>
              <w:rPr>
                <w:color w:val="000000"/>
                <w:kern w:val="0"/>
                <w:sz w:val="22"/>
                <w:szCs w:val="22"/>
              </w:rPr>
            </w:pPr>
            <w:r>
              <w:rPr>
                <w:color w:val="000000"/>
                <w:kern w:val="0"/>
                <w:sz w:val="22"/>
                <w:szCs w:val="22"/>
              </w:rPr>
              <w:t>······</w:t>
            </w:r>
          </w:p>
        </w:tc>
        <w:tc>
          <w:tcPr>
            <w:tcW w:w="432" w:type="pct"/>
            <w:tcBorders>
              <w:top w:val="single" w:color="auto" w:sz="4" w:space="0"/>
              <w:left w:val="single" w:color="auto" w:sz="4" w:space="0"/>
              <w:bottom w:val="single" w:color="auto" w:sz="4" w:space="0"/>
              <w:right w:val="single" w:color="auto" w:sz="4" w:space="0"/>
            </w:tcBorders>
            <w:noWrap/>
            <w:vAlign w:val="center"/>
          </w:tcPr>
          <w:p w14:paraId="28A3C738">
            <w:pPr>
              <w:jc w:val="center"/>
              <w:textAlignment w:val="center"/>
              <w:rPr>
                <w:color w:val="000000"/>
                <w:kern w:val="0"/>
                <w:sz w:val="22"/>
                <w:szCs w:val="22"/>
              </w:rPr>
            </w:pPr>
            <w:r>
              <w:rPr>
                <w:color w:val="000000"/>
                <w:kern w:val="0"/>
                <w:sz w:val="22"/>
                <w:szCs w:val="22"/>
                <w:lang w:bidi="ar"/>
              </w:rPr>
              <w:t xml:space="preserve">0.241 </w:t>
            </w:r>
          </w:p>
        </w:tc>
        <w:tc>
          <w:tcPr>
            <w:tcW w:w="432" w:type="pct"/>
            <w:tcBorders>
              <w:top w:val="nil"/>
              <w:left w:val="nil"/>
              <w:bottom w:val="single" w:color="auto" w:sz="4" w:space="0"/>
              <w:right w:val="single" w:color="auto" w:sz="4" w:space="0"/>
            </w:tcBorders>
            <w:noWrap/>
            <w:vAlign w:val="center"/>
          </w:tcPr>
          <w:p w14:paraId="2E1E7434">
            <w:pPr>
              <w:jc w:val="center"/>
              <w:textAlignment w:val="center"/>
              <w:rPr>
                <w:color w:val="000000"/>
                <w:kern w:val="0"/>
                <w:sz w:val="22"/>
                <w:szCs w:val="22"/>
              </w:rPr>
            </w:pPr>
            <w:r>
              <w:rPr>
                <w:color w:val="000000"/>
                <w:kern w:val="0"/>
                <w:sz w:val="22"/>
                <w:szCs w:val="22"/>
                <w:lang w:bidi="ar"/>
              </w:rPr>
              <w:t xml:space="preserve">0.268 </w:t>
            </w:r>
          </w:p>
        </w:tc>
        <w:tc>
          <w:tcPr>
            <w:tcW w:w="432" w:type="pct"/>
            <w:tcBorders>
              <w:top w:val="nil"/>
              <w:left w:val="nil"/>
              <w:bottom w:val="single" w:color="auto" w:sz="4" w:space="0"/>
              <w:right w:val="single" w:color="auto" w:sz="4" w:space="0"/>
            </w:tcBorders>
            <w:noWrap/>
            <w:vAlign w:val="center"/>
          </w:tcPr>
          <w:p w14:paraId="615CC5F5">
            <w:pPr>
              <w:jc w:val="center"/>
              <w:textAlignment w:val="center"/>
              <w:rPr>
                <w:color w:val="000000"/>
                <w:kern w:val="0"/>
                <w:sz w:val="22"/>
                <w:szCs w:val="22"/>
              </w:rPr>
            </w:pPr>
            <w:r>
              <w:rPr>
                <w:color w:val="000000"/>
                <w:kern w:val="0"/>
                <w:sz w:val="22"/>
                <w:szCs w:val="22"/>
                <w:lang w:bidi="ar"/>
              </w:rPr>
              <w:t xml:space="preserve">0.296 </w:t>
            </w:r>
          </w:p>
        </w:tc>
        <w:tc>
          <w:tcPr>
            <w:tcW w:w="433" w:type="pct"/>
            <w:tcBorders>
              <w:top w:val="nil"/>
              <w:left w:val="nil"/>
              <w:bottom w:val="single" w:color="auto" w:sz="4" w:space="0"/>
              <w:right w:val="single" w:color="auto" w:sz="4" w:space="0"/>
            </w:tcBorders>
            <w:noWrap/>
            <w:vAlign w:val="center"/>
          </w:tcPr>
          <w:p w14:paraId="3F232464">
            <w:pPr>
              <w:jc w:val="center"/>
              <w:textAlignment w:val="center"/>
              <w:rPr>
                <w:color w:val="000000"/>
                <w:kern w:val="0"/>
                <w:sz w:val="22"/>
                <w:szCs w:val="22"/>
              </w:rPr>
            </w:pPr>
            <w:r>
              <w:rPr>
                <w:color w:val="000000"/>
                <w:kern w:val="0"/>
                <w:sz w:val="22"/>
                <w:szCs w:val="22"/>
                <w:lang w:bidi="ar"/>
              </w:rPr>
              <w:t xml:space="preserve">0.325 </w:t>
            </w:r>
          </w:p>
        </w:tc>
      </w:tr>
      <w:tr w14:paraId="63BE6BD3">
        <w:tblPrEx>
          <w:tblCellMar>
            <w:top w:w="0" w:type="dxa"/>
            <w:left w:w="108" w:type="dxa"/>
            <w:bottom w:w="0" w:type="dxa"/>
            <w:right w:w="108" w:type="dxa"/>
          </w:tblCellMar>
        </w:tblPrEx>
        <w:trPr>
          <w:trHeight w:val="440" w:hRule="atLeast"/>
        </w:trPr>
        <w:tc>
          <w:tcPr>
            <w:tcW w:w="1032" w:type="pct"/>
            <w:tcBorders>
              <w:top w:val="nil"/>
              <w:left w:val="single" w:color="auto" w:sz="4" w:space="0"/>
              <w:bottom w:val="single" w:color="auto" w:sz="4" w:space="0"/>
              <w:right w:val="single" w:color="auto" w:sz="4" w:space="0"/>
            </w:tcBorders>
            <w:noWrap/>
            <w:vAlign w:val="center"/>
          </w:tcPr>
          <w:p w14:paraId="75E8A7BF">
            <w:pPr>
              <w:ind w:left="0"/>
              <w:jc w:val="center"/>
              <w:rPr>
                <w:i/>
                <w:iCs/>
                <w:color w:val="000000"/>
                <w:kern w:val="0"/>
                <w:sz w:val="22"/>
                <w:szCs w:val="22"/>
              </w:rPr>
            </w:pPr>
            <w:r>
              <w:rPr>
                <w:i/>
                <w:iCs/>
                <w:color w:val="000000"/>
                <w:kern w:val="0"/>
                <w:sz w:val="22"/>
                <w:szCs w:val="22"/>
              </w:rPr>
              <w:t>k</w:t>
            </w:r>
          </w:p>
        </w:tc>
        <w:tc>
          <w:tcPr>
            <w:tcW w:w="349" w:type="pct"/>
            <w:tcBorders>
              <w:top w:val="single" w:color="auto" w:sz="4" w:space="0"/>
              <w:left w:val="nil"/>
              <w:bottom w:val="single" w:color="auto" w:sz="4" w:space="0"/>
              <w:right w:val="single" w:color="auto" w:sz="4" w:space="0"/>
            </w:tcBorders>
            <w:noWrap/>
            <w:vAlign w:val="center"/>
          </w:tcPr>
          <w:p w14:paraId="79784BB6">
            <w:pPr>
              <w:ind w:left="0"/>
              <w:jc w:val="center"/>
              <w:rPr>
                <w:color w:val="000000"/>
                <w:kern w:val="0"/>
                <w:sz w:val="22"/>
                <w:szCs w:val="22"/>
              </w:rPr>
            </w:pPr>
          </w:p>
        </w:tc>
        <w:tc>
          <w:tcPr>
            <w:tcW w:w="155" w:type="pct"/>
            <w:tcBorders>
              <w:top w:val="nil"/>
              <w:left w:val="nil"/>
              <w:bottom w:val="single" w:color="auto" w:sz="4" w:space="0"/>
              <w:right w:val="single" w:color="auto" w:sz="4" w:space="0"/>
            </w:tcBorders>
            <w:noWrap/>
            <w:vAlign w:val="center"/>
          </w:tcPr>
          <w:p w14:paraId="16FD72BD">
            <w:pPr>
              <w:ind w:left="0"/>
              <w:jc w:val="center"/>
              <w:rPr>
                <w:color w:val="000000"/>
                <w:kern w:val="0"/>
                <w:sz w:val="22"/>
                <w:szCs w:val="22"/>
              </w:rPr>
            </w:pPr>
          </w:p>
        </w:tc>
        <w:tc>
          <w:tcPr>
            <w:tcW w:w="432" w:type="pct"/>
            <w:tcBorders>
              <w:top w:val="nil"/>
              <w:left w:val="nil"/>
              <w:bottom w:val="single" w:color="auto" w:sz="4" w:space="0"/>
              <w:right w:val="single" w:color="auto" w:sz="4" w:space="0"/>
            </w:tcBorders>
            <w:noWrap/>
            <w:vAlign w:val="center"/>
          </w:tcPr>
          <w:p w14:paraId="14278C9D">
            <w:pPr>
              <w:jc w:val="center"/>
              <w:textAlignment w:val="center"/>
              <w:rPr>
                <w:color w:val="000000"/>
                <w:kern w:val="0"/>
                <w:sz w:val="22"/>
                <w:szCs w:val="22"/>
              </w:rPr>
            </w:pPr>
            <w:r>
              <w:rPr>
                <w:rFonts w:hint="eastAsia"/>
                <w:color w:val="000000"/>
                <w:kern w:val="0"/>
                <w:sz w:val="22"/>
                <w:szCs w:val="22"/>
                <w:lang w:bidi="ar"/>
              </w:rPr>
              <w:t>2</w:t>
            </w:r>
          </w:p>
        </w:tc>
        <w:tc>
          <w:tcPr>
            <w:tcW w:w="432" w:type="pct"/>
            <w:tcBorders>
              <w:top w:val="nil"/>
              <w:left w:val="nil"/>
              <w:bottom w:val="single" w:color="auto" w:sz="4" w:space="0"/>
              <w:right w:val="single" w:color="auto" w:sz="4" w:space="0"/>
            </w:tcBorders>
            <w:noWrap/>
            <w:vAlign w:val="center"/>
          </w:tcPr>
          <w:p w14:paraId="4C4A0F3E">
            <w:pPr>
              <w:jc w:val="center"/>
              <w:textAlignment w:val="center"/>
              <w:rPr>
                <w:kern w:val="0"/>
                <w:sz w:val="22"/>
                <w:szCs w:val="22"/>
              </w:rPr>
            </w:pPr>
            <w:r>
              <w:rPr>
                <w:rFonts w:hint="eastAsia"/>
                <w:kern w:val="0"/>
                <w:sz w:val="22"/>
                <w:szCs w:val="22"/>
              </w:rPr>
              <w:t>2</w:t>
            </w:r>
          </w:p>
        </w:tc>
        <w:tc>
          <w:tcPr>
            <w:tcW w:w="432" w:type="pct"/>
            <w:tcBorders>
              <w:top w:val="nil"/>
              <w:left w:val="nil"/>
              <w:bottom w:val="single" w:color="auto" w:sz="4" w:space="0"/>
              <w:right w:val="single" w:color="auto" w:sz="4" w:space="0"/>
            </w:tcBorders>
            <w:noWrap/>
            <w:vAlign w:val="center"/>
          </w:tcPr>
          <w:p w14:paraId="50379DCE">
            <w:pPr>
              <w:jc w:val="center"/>
              <w:textAlignment w:val="center"/>
              <w:rPr>
                <w:color w:val="000000"/>
                <w:kern w:val="0"/>
                <w:sz w:val="22"/>
                <w:szCs w:val="22"/>
              </w:rPr>
            </w:pPr>
            <w:r>
              <w:rPr>
                <w:rFonts w:hint="eastAsia"/>
                <w:color w:val="000000"/>
                <w:kern w:val="0"/>
                <w:sz w:val="22"/>
                <w:szCs w:val="22"/>
              </w:rPr>
              <w:t>2</w:t>
            </w:r>
          </w:p>
        </w:tc>
        <w:tc>
          <w:tcPr>
            <w:tcW w:w="432" w:type="pct"/>
            <w:tcBorders>
              <w:top w:val="single" w:color="auto" w:sz="4" w:space="0"/>
              <w:left w:val="nil"/>
              <w:bottom w:val="single" w:color="auto" w:sz="4" w:space="0"/>
              <w:right w:val="single" w:color="auto" w:sz="4" w:space="0"/>
            </w:tcBorders>
            <w:vAlign w:val="center"/>
          </w:tcPr>
          <w:p w14:paraId="00ADD157">
            <w:pPr>
              <w:ind w:left="0"/>
              <w:jc w:val="center"/>
              <w:rPr>
                <w:kern w:val="0"/>
                <w:sz w:val="22"/>
                <w:szCs w:val="22"/>
              </w:rPr>
            </w:pPr>
            <w:r>
              <w:rPr>
                <w:color w:val="000000"/>
                <w:kern w:val="0"/>
                <w:sz w:val="22"/>
                <w:szCs w:val="22"/>
              </w:rPr>
              <w:t>······</w:t>
            </w:r>
          </w:p>
        </w:tc>
        <w:tc>
          <w:tcPr>
            <w:tcW w:w="432" w:type="pct"/>
            <w:tcBorders>
              <w:top w:val="single" w:color="auto" w:sz="4" w:space="0"/>
              <w:left w:val="single" w:color="auto" w:sz="4" w:space="0"/>
              <w:bottom w:val="single" w:color="auto" w:sz="4" w:space="0"/>
              <w:right w:val="single" w:color="auto" w:sz="4" w:space="0"/>
            </w:tcBorders>
            <w:noWrap/>
            <w:vAlign w:val="center"/>
          </w:tcPr>
          <w:p w14:paraId="2744A07E">
            <w:pPr>
              <w:jc w:val="center"/>
              <w:textAlignment w:val="center"/>
              <w:rPr>
                <w:kern w:val="0"/>
                <w:sz w:val="22"/>
                <w:szCs w:val="22"/>
              </w:rPr>
            </w:pPr>
            <w:r>
              <w:rPr>
                <w:rFonts w:hint="eastAsia"/>
                <w:color w:val="000000"/>
                <w:kern w:val="0"/>
                <w:sz w:val="22"/>
                <w:szCs w:val="22"/>
                <w:lang w:bidi="ar"/>
              </w:rPr>
              <w:t>2</w:t>
            </w:r>
          </w:p>
        </w:tc>
        <w:tc>
          <w:tcPr>
            <w:tcW w:w="432" w:type="pct"/>
            <w:tcBorders>
              <w:top w:val="nil"/>
              <w:left w:val="nil"/>
              <w:bottom w:val="single" w:color="auto" w:sz="4" w:space="0"/>
              <w:right w:val="single" w:color="auto" w:sz="4" w:space="0"/>
            </w:tcBorders>
            <w:noWrap/>
            <w:vAlign w:val="center"/>
          </w:tcPr>
          <w:p w14:paraId="0ECDC9DC">
            <w:pPr>
              <w:jc w:val="center"/>
              <w:textAlignment w:val="center"/>
              <w:rPr>
                <w:kern w:val="0"/>
                <w:sz w:val="22"/>
                <w:szCs w:val="22"/>
              </w:rPr>
            </w:pPr>
            <w:r>
              <w:rPr>
                <w:rFonts w:hint="eastAsia"/>
                <w:kern w:val="0"/>
                <w:sz w:val="22"/>
                <w:szCs w:val="22"/>
              </w:rPr>
              <w:t>2</w:t>
            </w:r>
          </w:p>
        </w:tc>
        <w:tc>
          <w:tcPr>
            <w:tcW w:w="432" w:type="pct"/>
            <w:tcBorders>
              <w:top w:val="nil"/>
              <w:left w:val="nil"/>
              <w:bottom w:val="single" w:color="auto" w:sz="4" w:space="0"/>
              <w:right w:val="single" w:color="auto" w:sz="4" w:space="0"/>
            </w:tcBorders>
            <w:noWrap/>
            <w:vAlign w:val="center"/>
          </w:tcPr>
          <w:p w14:paraId="07C5B1DD">
            <w:pPr>
              <w:jc w:val="center"/>
              <w:textAlignment w:val="center"/>
              <w:rPr>
                <w:kern w:val="0"/>
                <w:sz w:val="22"/>
                <w:szCs w:val="22"/>
              </w:rPr>
            </w:pPr>
            <w:r>
              <w:rPr>
                <w:rFonts w:hint="eastAsia"/>
                <w:kern w:val="0"/>
                <w:sz w:val="22"/>
                <w:szCs w:val="22"/>
              </w:rPr>
              <w:t>2</w:t>
            </w:r>
          </w:p>
        </w:tc>
        <w:tc>
          <w:tcPr>
            <w:tcW w:w="433" w:type="pct"/>
            <w:tcBorders>
              <w:top w:val="nil"/>
              <w:left w:val="nil"/>
              <w:bottom w:val="single" w:color="auto" w:sz="4" w:space="0"/>
              <w:right w:val="single" w:color="auto" w:sz="4" w:space="0"/>
            </w:tcBorders>
            <w:noWrap/>
            <w:vAlign w:val="center"/>
          </w:tcPr>
          <w:p w14:paraId="46451834">
            <w:pPr>
              <w:jc w:val="center"/>
              <w:textAlignment w:val="center"/>
              <w:rPr>
                <w:kern w:val="0"/>
                <w:sz w:val="22"/>
                <w:szCs w:val="22"/>
              </w:rPr>
            </w:pPr>
            <w:r>
              <w:rPr>
                <w:rFonts w:hint="eastAsia"/>
                <w:kern w:val="0"/>
                <w:sz w:val="22"/>
                <w:szCs w:val="22"/>
              </w:rPr>
              <w:t>2</w:t>
            </w:r>
          </w:p>
        </w:tc>
      </w:tr>
      <w:tr w14:paraId="2B608034">
        <w:tblPrEx>
          <w:tblCellMar>
            <w:top w:w="0" w:type="dxa"/>
            <w:left w:w="108" w:type="dxa"/>
            <w:bottom w:w="0" w:type="dxa"/>
            <w:right w:w="108" w:type="dxa"/>
          </w:tblCellMar>
        </w:tblPrEx>
        <w:trPr>
          <w:trHeight w:val="440" w:hRule="atLeast"/>
        </w:trPr>
        <w:tc>
          <w:tcPr>
            <w:tcW w:w="1032" w:type="pct"/>
            <w:tcBorders>
              <w:top w:val="nil"/>
              <w:left w:val="single" w:color="auto" w:sz="4" w:space="0"/>
              <w:bottom w:val="single" w:color="auto" w:sz="4" w:space="0"/>
              <w:right w:val="single" w:color="auto" w:sz="4" w:space="0"/>
            </w:tcBorders>
            <w:noWrap/>
            <w:vAlign w:val="center"/>
          </w:tcPr>
          <w:p w14:paraId="1B3B7996">
            <w:pPr>
              <w:ind w:left="0"/>
              <w:jc w:val="center"/>
              <w:rPr>
                <w:color w:val="000000"/>
                <w:kern w:val="0"/>
                <w:sz w:val="22"/>
                <w:szCs w:val="22"/>
              </w:rPr>
            </w:pPr>
            <w:r>
              <w:rPr>
                <w:rFonts w:hint="eastAsia" w:ascii="宋体" w:hAnsi="宋体"/>
                <w:color w:val="000000"/>
                <w:kern w:val="0"/>
                <w:sz w:val="22"/>
                <w:szCs w:val="22"/>
              </w:rPr>
              <w:t>扩展不确定度</w:t>
            </w:r>
            <w:r>
              <w:rPr>
                <w:i/>
                <w:iCs/>
                <w:color w:val="000000"/>
                <w:kern w:val="0"/>
                <w:sz w:val="22"/>
                <w:szCs w:val="22"/>
              </w:rPr>
              <w:t>U</w:t>
            </w:r>
          </w:p>
        </w:tc>
        <w:tc>
          <w:tcPr>
            <w:tcW w:w="349" w:type="pct"/>
            <w:tcBorders>
              <w:top w:val="nil"/>
              <w:left w:val="nil"/>
              <w:bottom w:val="single" w:color="auto" w:sz="4" w:space="0"/>
              <w:right w:val="single" w:color="auto" w:sz="4" w:space="0"/>
            </w:tcBorders>
            <w:noWrap/>
            <w:vAlign w:val="center"/>
          </w:tcPr>
          <w:p w14:paraId="53B4339A">
            <w:pPr>
              <w:ind w:left="0"/>
              <w:jc w:val="center"/>
              <w:rPr>
                <w:color w:val="000000"/>
                <w:kern w:val="0"/>
                <w:sz w:val="22"/>
                <w:szCs w:val="22"/>
              </w:rPr>
            </w:pPr>
          </w:p>
        </w:tc>
        <w:tc>
          <w:tcPr>
            <w:tcW w:w="155" w:type="pct"/>
            <w:tcBorders>
              <w:top w:val="nil"/>
              <w:left w:val="nil"/>
              <w:bottom w:val="single" w:color="auto" w:sz="4" w:space="0"/>
              <w:right w:val="single" w:color="auto" w:sz="4" w:space="0"/>
            </w:tcBorders>
            <w:noWrap/>
            <w:vAlign w:val="center"/>
          </w:tcPr>
          <w:p w14:paraId="432C790E">
            <w:pPr>
              <w:ind w:left="0"/>
              <w:jc w:val="center"/>
              <w:rPr>
                <w:color w:val="000000"/>
                <w:kern w:val="0"/>
                <w:sz w:val="22"/>
                <w:szCs w:val="22"/>
              </w:rPr>
            </w:pPr>
            <w:r>
              <w:rPr>
                <w:color w:val="000000"/>
                <w:kern w:val="0"/>
                <w:sz w:val="22"/>
                <w:szCs w:val="22"/>
              </w:rPr>
              <w:t>kg</w:t>
            </w:r>
          </w:p>
        </w:tc>
        <w:tc>
          <w:tcPr>
            <w:tcW w:w="432" w:type="pct"/>
            <w:tcBorders>
              <w:top w:val="nil"/>
              <w:left w:val="nil"/>
              <w:bottom w:val="single" w:color="auto" w:sz="4" w:space="0"/>
              <w:right w:val="single" w:color="auto" w:sz="4" w:space="0"/>
            </w:tcBorders>
            <w:noWrap/>
            <w:vAlign w:val="center"/>
          </w:tcPr>
          <w:p w14:paraId="1C2CED53">
            <w:pPr>
              <w:jc w:val="center"/>
              <w:textAlignment w:val="center"/>
              <w:rPr>
                <w:color w:val="000000"/>
                <w:kern w:val="0"/>
                <w:sz w:val="22"/>
                <w:szCs w:val="22"/>
              </w:rPr>
            </w:pPr>
            <w:r>
              <w:rPr>
                <w:color w:val="000000"/>
                <w:kern w:val="0"/>
                <w:sz w:val="22"/>
                <w:szCs w:val="22"/>
                <w:lang w:bidi="ar"/>
              </w:rPr>
              <w:t xml:space="preserve">0.066 </w:t>
            </w:r>
          </w:p>
        </w:tc>
        <w:tc>
          <w:tcPr>
            <w:tcW w:w="432" w:type="pct"/>
            <w:tcBorders>
              <w:top w:val="nil"/>
              <w:left w:val="nil"/>
              <w:bottom w:val="single" w:color="auto" w:sz="4" w:space="0"/>
              <w:right w:val="single" w:color="auto" w:sz="4" w:space="0"/>
            </w:tcBorders>
            <w:noWrap/>
            <w:vAlign w:val="center"/>
          </w:tcPr>
          <w:p w14:paraId="02993776">
            <w:pPr>
              <w:jc w:val="center"/>
              <w:textAlignment w:val="center"/>
              <w:rPr>
                <w:color w:val="000000"/>
                <w:kern w:val="0"/>
                <w:sz w:val="22"/>
                <w:szCs w:val="22"/>
              </w:rPr>
            </w:pPr>
            <w:r>
              <w:rPr>
                <w:color w:val="000000"/>
                <w:kern w:val="0"/>
                <w:sz w:val="22"/>
                <w:szCs w:val="22"/>
                <w:lang w:bidi="ar"/>
              </w:rPr>
              <w:t xml:space="preserve">0.115 </w:t>
            </w:r>
          </w:p>
        </w:tc>
        <w:tc>
          <w:tcPr>
            <w:tcW w:w="432" w:type="pct"/>
            <w:tcBorders>
              <w:top w:val="nil"/>
              <w:left w:val="nil"/>
              <w:bottom w:val="single" w:color="auto" w:sz="4" w:space="0"/>
              <w:right w:val="single" w:color="auto" w:sz="4" w:space="0"/>
            </w:tcBorders>
            <w:noWrap/>
            <w:vAlign w:val="center"/>
          </w:tcPr>
          <w:p w14:paraId="4AF16715">
            <w:pPr>
              <w:jc w:val="center"/>
              <w:textAlignment w:val="center"/>
              <w:rPr>
                <w:color w:val="000000"/>
                <w:kern w:val="0"/>
                <w:sz w:val="22"/>
                <w:szCs w:val="22"/>
              </w:rPr>
            </w:pPr>
            <w:r>
              <w:rPr>
                <w:color w:val="000000"/>
                <w:kern w:val="0"/>
                <w:sz w:val="22"/>
                <w:szCs w:val="22"/>
                <w:lang w:bidi="ar"/>
              </w:rPr>
              <w:t xml:space="preserve">0.153 </w:t>
            </w:r>
          </w:p>
        </w:tc>
        <w:tc>
          <w:tcPr>
            <w:tcW w:w="432" w:type="pct"/>
            <w:tcBorders>
              <w:top w:val="single" w:color="auto" w:sz="4" w:space="0"/>
              <w:left w:val="nil"/>
              <w:bottom w:val="single" w:color="auto" w:sz="4" w:space="0"/>
              <w:right w:val="single" w:color="auto" w:sz="4" w:space="0"/>
            </w:tcBorders>
            <w:vAlign w:val="center"/>
          </w:tcPr>
          <w:p w14:paraId="2A0C79D5">
            <w:pPr>
              <w:ind w:left="0"/>
              <w:jc w:val="center"/>
              <w:rPr>
                <w:color w:val="000000"/>
                <w:kern w:val="0"/>
                <w:sz w:val="22"/>
                <w:szCs w:val="22"/>
              </w:rPr>
            </w:pPr>
            <w:r>
              <w:rPr>
                <w:color w:val="000000"/>
                <w:kern w:val="0"/>
                <w:sz w:val="22"/>
                <w:szCs w:val="22"/>
              </w:rPr>
              <w:t>······</w:t>
            </w:r>
          </w:p>
        </w:tc>
        <w:tc>
          <w:tcPr>
            <w:tcW w:w="432" w:type="pct"/>
            <w:tcBorders>
              <w:top w:val="single" w:color="auto" w:sz="4" w:space="0"/>
              <w:left w:val="single" w:color="auto" w:sz="4" w:space="0"/>
              <w:bottom w:val="single" w:color="auto" w:sz="4" w:space="0"/>
              <w:right w:val="single" w:color="auto" w:sz="4" w:space="0"/>
            </w:tcBorders>
            <w:noWrap/>
            <w:vAlign w:val="center"/>
          </w:tcPr>
          <w:p w14:paraId="3BAAABC2">
            <w:pPr>
              <w:jc w:val="center"/>
              <w:textAlignment w:val="center"/>
              <w:rPr>
                <w:color w:val="000000"/>
                <w:kern w:val="0"/>
                <w:sz w:val="22"/>
                <w:szCs w:val="22"/>
              </w:rPr>
            </w:pPr>
            <w:r>
              <w:rPr>
                <w:color w:val="000000"/>
                <w:kern w:val="0"/>
                <w:sz w:val="22"/>
                <w:szCs w:val="22"/>
                <w:lang w:bidi="ar"/>
              </w:rPr>
              <w:t xml:space="preserve">0.482 </w:t>
            </w:r>
          </w:p>
        </w:tc>
        <w:tc>
          <w:tcPr>
            <w:tcW w:w="432" w:type="pct"/>
            <w:tcBorders>
              <w:top w:val="nil"/>
              <w:left w:val="nil"/>
              <w:bottom w:val="single" w:color="auto" w:sz="4" w:space="0"/>
              <w:right w:val="single" w:color="auto" w:sz="4" w:space="0"/>
            </w:tcBorders>
            <w:noWrap/>
            <w:vAlign w:val="center"/>
          </w:tcPr>
          <w:p w14:paraId="1D8C00FA">
            <w:pPr>
              <w:jc w:val="center"/>
              <w:textAlignment w:val="center"/>
              <w:rPr>
                <w:color w:val="000000"/>
                <w:kern w:val="0"/>
                <w:sz w:val="22"/>
                <w:szCs w:val="22"/>
              </w:rPr>
            </w:pPr>
            <w:r>
              <w:rPr>
                <w:color w:val="000000"/>
                <w:kern w:val="0"/>
                <w:sz w:val="22"/>
                <w:szCs w:val="22"/>
                <w:lang w:bidi="ar"/>
              </w:rPr>
              <w:t xml:space="preserve">0.536 </w:t>
            </w:r>
          </w:p>
        </w:tc>
        <w:tc>
          <w:tcPr>
            <w:tcW w:w="432" w:type="pct"/>
            <w:tcBorders>
              <w:top w:val="nil"/>
              <w:left w:val="nil"/>
              <w:bottom w:val="single" w:color="auto" w:sz="4" w:space="0"/>
              <w:right w:val="single" w:color="auto" w:sz="4" w:space="0"/>
            </w:tcBorders>
            <w:noWrap/>
            <w:vAlign w:val="center"/>
          </w:tcPr>
          <w:p w14:paraId="1F0E45F2">
            <w:pPr>
              <w:jc w:val="center"/>
              <w:textAlignment w:val="center"/>
              <w:rPr>
                <w:color w:val="000000"/>
                <w:kern w:val="0"/>
                <w:sz w:val="22"/>
                <w:szCs w:val="22"/>
              </w:rPr>
            </w:pPr>
            <w:r>
              <w:rPr>
                <w:color w:val="000000"/>
                <w:kern w:val="0"/>
                <w:sz w:val="22"/>
                <w:szCs w:val="22"/>
                <w:lang w:bidi="ar"/>
              </w:rPr>
              <w:t xml:space="preserve">0.592 </w:t>
            </w:r>
          </w:p>
        </w:tc>
        <w:tc>
          <w:tcPr>
            <w:tcW w:w="433" w:type="pct"/>
            <w:tcBorders>
              <w:top w:val="nil"/>
              <w:left w:val="nil"/>
              <w:bottom w:val="single" w:color="auto" w:sz="4" w:space="0"/>
              <w:right w:val="single" w:color="auto" w:sz="4" w:space="0"/>
            </w:tcBorders>
            <w:noWrap/>
            <w:vAlign w:val="center"/>
          </w:tcPr>
          <w:p w14:paraId="019E2790">
            <w:pPr>
              <w:jc w:val="center"/>
              <w:textAlignment w:val="center"/>
              <w:rPr>
                <w:color w:val="000000"/>
                <w:kern w:val="0"/>
                <w:sz w:val="22"/>
                <w:szCs w:val="22"/>
              </w:rPr>
            </w:pPr>
            <w:r>
              <w:rPr>
                <w:color w:val="000000"/>
                <w:kern w:val="0"/>
                <w:sz w:val="22"/>
                <w:szCs w:val="22"/>
                <w:lang w:bidi="ar"/>
              </w:rPr>
              <w:t xml:space="preserve">0.650 </w:t>
            </w:r>
          </w:p>
        </w:tc>
      </w:tr>
    </w:tbl>
    <w:p w14:paraId="302309E8">
      <w:pPr>
        <w:ind w:left="0"/>
        <w:rPr>
          <w:bCs/>
        </w:rPr>
        <w:sectPr>
          <w:headerReference r:id="rId8" w:type="default"/>
          <w:footerReference r:id="rId9" w:type="default"/>
          <w:pgSz w:w="16838" w:h="11906" w:orient="landscape"/>
          <w:pgMar w:top="1134" w:right="1440" w:bottom="1134" w:left="1440" w:header="851" w:footer="992" w:gutter="0"/>
          <w:cols w:space="720" w:num="1"/>
          <w:docGrid w:type="lines" w:linePitch="312" w:charSpace="0"/>
        </w:sectPr>
      </w:pPr>
    </w:p>
    <w:p w14:paraId="4B3FE568">
      <w:pPr>
        <w:ind w:left="0"/>
        <w:rPr>
          <w:bCs/>
        </w:rPr>
      </w:pPr>
    </w:p>
    <w:p w14:paraId="6D5099FD">
      <w:pPr>
        <w:pStyle w:val="62"/>
      </w:pPr>
      <w:bookmarkStart w:id="171" w:name="_Toc5301"/>
      <w:r>
        <w:rPr>
          <w:rFonts w:hint="eastAsia"/>
        </w:rPr>
        <w:t>附录B</w:t>
      </w:r>
      <w:bookmarkEnd w:id="171"/>
      <w:r>
        <w:rPr>
          <w:rFonts w:hint="eastAsia"/>
        </w:rPr>
        <w:t xml:space="preserve">      </w:t>
      </w:r>
    </w:p>
    <w:p w14:paraId="483060EB">
      <w:pPr>
        <w:pStyle w:val="62"/>
        <w:jc w:val="center"/>
        <w:rPr>
          <w:rStyle w:val="38"/>
          <w:rFonts w:hAnsi="Times New Roman"/>
          <w:b w:val="0"/>
          <w:bCs/>
          <w:sz w:val="24"/>
        </w:rPr>
      </w:pPr>
      <w:bookmarkStart w:id="172" w:name="_Toc827"/>
      <w:r>
        <w:rPr>
          <w:rStyle w:val="38"/>
          <w:rFonts w:hint="eastAsia" w:hAnsi="Times New Roman"/>
          <w:b w:val="0"/>
          <w:bCs/>
          <w:sz w:val="24"/>
        </w:rPr>
        <w:t>称重物料罐的示值误差测量结果不确定度评定（示例方法</w:t>
      </w:r>
      <w:r>
        <w:rPr>
          <w:rStyle w:val="38"/>
          <w:rFonts w:hint="eastAsia"/>
          <w:b w:val="0"/>
          <w:bCs/>
          <w:sz w:val="24"/>
        </w:rPr>
        <w:t xml:space="preserve">二 </w:t>
      </w:r>
      <w:r>
        <w:rPr>
          <w:rFonts w:hint="eastAsia"/>
        </w:rPr>
        <w:t>增量</w:t>
      </w:r>
      <w:r>
        <w:rPr>
          <w:rStyle w:val="38"/>
          <w:rFonts w:hint="eastAsia" w:hAnsi="Times New Roman"/>
          <w:b w:val="0"/>
          <w:bCs/>
          <w:sz w:val="24"/>
        </w:rPr>
        <w:t>）</w:t>
      </w:r>
      <w:bookmarkEnd w:id="172"/>
    </w:p>
    <w:p w14:paraId="0302E154">
      <w:pPr>
        <w:adjustRightInd w:val="0"/>
        <w:snapToGrid w:val="0"/>
        <w:spacing w:line="360" w:lineRule="auto"/>
        <w:rPr>
          <w:spacing w:val="20"/>
        </w:rPr>
      </w:pPr>
      <w:r>
        <w:rPr>
          <w:rFonts w:hint="eastAsia"/>
          <w:spacing w:val="20"/>
        </w:rPr>
        <w:t>B</w:t>
      </w:r>
      <w:r>
        <w:rPr>
          <w:spacing w:val="20"/>
        </w:rPr>
        <w:t>.1</w:t>
      </w:r>
      <w:r>
        <w:rPr>
          <w:rFonts w:hint="eastAsia"/>
          <w:spacing w:val="20"/>
        </w:rPr>
        <w:t xml:space="preserve"> 概述</w:t>
      </w:r>
    </w:p>
    <w:p w14:paraId="208B11B5">
      <w:pPr>
        <w:adjustRightInd w:val="0"/>
        <w:snapToGrid w:val="0"/>
        <w:spacing w:line="360" w:lineRule="auto"/>
        <w:rPr>
          <w:spacing w:val="20"/>
        </w:rPr>
      </w:pPr>
      <w:r>
        <w:rPr>
          <w:rFonts w:hint="eastAsia"/>
          <w:spacing w:val="20"/>
        </w:rPr>
        <w:t>B</w:t>
      </w:r>
      <w:r>
        <w:rPr>
          <w:spacing w:val="20"/>
        </w:rPr>
        <w:t>.1</w:t>
      </w:r>
      <w:r>
        <w:rPr>
          <w:rFonts w:hint="eastAsia"/>
          <w:spacing w:val="20"/>
        </w:rPr>
        <w:t>.1 测量标准</w:t>
      </w:r>
    </w:p>
    <w:p w14:paraId="12331D75">
      <w:pPr>
        <w:adjustRightInd w:val="0"/>
        <w:snapToGrid w:val="0"/>
        <w:spacing w:line="360" w:lineRule="auto"/>
        <w:ind w:firstLine="560" w:firstLineChars="200"/>
        <w:rPr>
          <w:spacing w:val="20"/>
        </w:rPr>
      </w:pPr>
      <w:r>
        <w:rPr>
          <w:rFonts w:hint="eastAsia"/>
          <w:spacing w:val="20"/>
        </w:rPr>
        <w:t>F</w:t>
      </w:r>
      <w:r>
        <w:rPr>
          <w:rFonts w:hint="eastAsia"/>
          <w:spacing w:val="20"/>
          <w:vertAlign w:val="subscript"/>
        </w:rPr>
        <w:t>2</w:t>
      </w:r>
      <w:r>
        <w:rPr>
          <w:rFonts w:hint="eastAsia"/>
          <w:spacing w:val="20"/>
        </w:rPr>
        <w:t>等级砝码（25kg*3=75 kg）。</w:t>
      </w:r>
    </w:p>
    <w:p w14:paraId="4DFDCDAC">
      <w:pPr>
        <w:adjustRightInd w:val="0"/>
        <w:snapToGrid w:val="0"/>
        <w:spacing w:line="360" w:lineRule="auto"/>
        <w:rPr>
          <w:spacing w:val="20"/>
        </w:rPr>
      </w:pPr>
      <w:r>
        <w:rPr>
          <w:rFonts w:hint="eastAsia"/>
          <w:spacing w:val="20"/>
        </w:rPr>
        <w:t>B</w:t>
      </w:r>
      <w:r>
        <w:rPr>
          <w:spacing w:val="20"/>
        </w:rPr>
        <w:t>.1</w:t>
      </w:r>
      <w:r>
        <w:rPr>
          <w:rFonts w:hint="eastAsia"/>
          <w:spacing w:val="20"/>
        </w:rPr>
        <w:t>.2 被测对象</w:t>
      </w:r>
    </w:p>
    <w:p w14:paraId="1CC813DB">
      <w:pPr>
        <w:adjustRightInd w:val="0"/>
        <w:snapToGrid w:val="0"/>
        <w:spacing w:line="360" w:lineRule="auto"/>
        <w:ind w:firstLine="560" w:firstLineChars="200"/>
        <w:rPr>
          <w:spacing w:val="20"/>
        </w:rPr>
      </w:pPr>
      <w:r>
        <w:rPr>
          <w:rFonts w:hint="eastAsia"/>
          <w:spacing w:val="20"/>
        </w:rPr>
        <w:t>称重物料罐（Max=1000 kg，</w:t>
      </w:r>
      <w:r>
        <w:rPr>
          <w:rFonts w:hint="eastAsia"/>
          <w:i/>
          <w:iCs/>
          <w:spacing w:val="20"/>
        </w:rPr>
        <w:t>d</w:t>
      </w:r>
      <w:r>
        <w:rPr>
          <w:rFonts w:hint="eastAsia"/>
          <w:spacing w:val="20"/>
        </w:rPr>
        <w:t>=0.5 kg，</w:t>
      </w:r>
      <w:r>
        <w:rPr>
          <w:color w:val="000000"/>
        </w:rPr>
        <w:t>具备扩展指示装置</w:t>
      </w:r>
      <w:r>
        <w:rPr>
          <w:rFonts w:hint="eastAsia"/>
          <w:spacing w:val="20"/>
        </w:rPr>
        <w:t>）。</w:t>
      </w:r>
    </w:p>
    <w:p w14:paraId="42AE8044">
      <w:pPr>
        <w:adjustRightInd w:val="0"/>
        <w:snapToGrid w:val="0"/>
        <w:spacing w:line="360" w:lineRule="auto"/>
        <w:rPr>
          <w:spacing w:val="20"/>
        </w:rPr>
      </w:pPr>
      <w:r>
        <w:rPr>
          <w:rFonts w:hint="eastAsia"/>
          <w:spacing w:val="20"/>
        </w:rPr>
        <w:t>B</w:t>
      </w:r>
      <w:r>
        <w:rPr>
          <w:spacing w:val="20"/>
        </w:rPr>
        <w:t>.1</w:t>
      </w:r>
      <w:r>
        <w:rPr>
          <w:rFonts w:hint="eastAsia"/>
          <w:spacing w:val="20"/>
        </w:rPr>
        <w:t>.3 测量方法</w:t>
      </w:r>
    </w:p>
    <w:p w14:paraId="3B7B8406">
      <w:pPr>
        <w:adjustRightInd w:val="0"/>
        <w:snapToGrid w:val="0"/>
        <w:spacing w:line="360" w:lineRule="auto"/>
        <w:ind w:firstLine="560" w:firstLineChars="200"/>
        <w:rPr>
          <w:spacing w:val="20"/>
        </w:rPr>
      </w:pPr>
      <w:r>
        <w:rPr>
          <w:rFonts w:hint="eastAsia"/>
          <w:spacing w:val="20"/>
        </w:rPr>
        <w:t>按本规范7.2方法，对称重物料罐进行校准。</w:t>
      </w:r>
    </w:p>
    <w:p w14:paraId="0C84B36C">
      <w:pPr>
        <w:adjustRightInd w:val="0"/>
        <w:snapToGrid w:val="0"/>
        <w:spacing w:line="360" w:lineRule="auto"/>
        <w:rPr>
          <w:spacing w:val="20"/>
        </w:rPr>
      </w:pPr>
      <w:r>
        <w:rPr>
          <w:rFonts w:hint="eastAsia"/>
          <w:spacing w:val="20"/>
        </w:rPr>
        <w:t>B</w:t>
      </w:r>
      <w:r>
        <w:rPr>
          <w:spacing w:val="20"/>
        </w:rPr>
        <w:t>.2</w:t>
      </w:r>
      <w:r>
        <w:rPr>
          <w:rFonts w:hint="eastAsia"/>
          <w:spacing w:val="20"/>
        </w:rPr>
        <w:t xml:space="preserve"> 测量</w:t>
      </w:r>
      <w:r>
        <w:rPr>
          <w:spacing w:val="20"/>
        </w:rPr>
        <w:t>模型</w:t>
      </w:r>
    </w:p>
    <w:p w14:paraId="59E3F686">
      <w:pPr>
        <w:tabs>
          <w:tab w:val="right" w:pos="9120"/>
        </w:tabs>
        <w:adjustRightInd w:val="0"/>
        <w:snapToGrid w:val="0"/>
        <w:spacing w:line="360" w:lineRule="auto"/>
        <w:ind w:left="198"/>
        <w:rPr>
          <w:bCs/>
          <w:position w:val="-12"/>
        </w:rPr>
      </w:pPr>
      <w:r>
        <w:rPr>
          <w:rFonts w:hint="eastAsia"/>
        </w:rPr>
        <w:t xml:space="preserve">      </w:t>
      </w:r>
      <w:r>
        <w:rPr>
          <w:rFonts w:hint="eastAsia"/>
          <w:spacing w:val="20"/>
        </w:rPr>
        <w:t xml:space="preserve">               </w:t>
      </w:r>
      <w:r>
        <w:rPr>
          <w:position w:val="-4"/>
        </w:rPr>
        <w:object>
          <v:shape id="_x0000_i1061" o:spt="75" type="#_x0000_t75" style="height:13pt;width:48pt;" o:ole="t" filled="f" o:preferrelative="t" stroked="f" coordsize="21600,21600">
            <v:path/>
            <v:fill on="f" focussize="0,0"/>
            <v:stroke on="f" joinstyle="miter"/>
            <v:imagedata r:id="rId97" o:title=""/>
            <o:lock v:ext="edit" aspectratio="t"/>
            <w10:wrap type="none"/>
            <w10:anchorlock/>
          </v:shape>
          <o:OLEObject Type="Embed" ProgID="Equation.DSMT4" ShapeID="_x0000_i1061" DrawAspect="Content" ObjectID="_1468075761" r:id="rId96">
            <o:LockedField>false</o:LockedField>
          </o:OLEObject>
        </w:object>
      </w:r>
      <w:r>
        <w:rPr>
          <w:rFonts w:hint="eastAsia"/>
        </w:rPr>
        <w:tab/>
      </w:r>
      <w:r>
        <w:rPr>
          <w:rFonts w:hint="eastAsia"/>
          <w:spacing w:val="20"/>
        </w:rPr>
        <w:t>（B.1）</w:t>
      </w:r>
      <w:r>
        <w:rPr>
          <w:rFonts w:hint="eastAsia"/>
        </w:rPr>
        <w:t xml:space="preserve">                 </w:t>
      </w:r>
    </w:p>
    <w:p w14:paraId="197546AD">
      <w:pPr>
        <w:ind w:left="0" w:firstLine="480" w:firstLineChars="200"/>
      </w:pPr>
      <w:r>
        <w:rPr>
          <w:color w:val="000000"/>
        </w:rPr>
        <w:t>如果</w:t>
      </w:r>
      <w:r>
        <w:t>称重系统</w:t>
      </w:r>
      <w:r>
        <w:rPr>
          <w:color w:val="000000"/>
        </w:rPr>
        <w:t>不具备扩展指示装置，采用</w:t>
      </w:r>
      <w:r>
        <w:rPr>
          <w:position w:val="-6"/>
        </w:rPr>
        <w:object>
          <v:shape id="_x0000_i1062" o:spt="75" type="#_x0000_t75" style="height:14pt;width:129pt;" o:ole="t" filled="f" o:preferrelative="t" stroked="f" coordsize="21600,21600">
            <v:path/>
            <v:fill on="f" focussize="0,0"/>
            <v:stroke on="f" joinstyle="miter"/>
            <v:imagedata r:id="rId99" o:title=""/>
            <o:lock v:ext="edit" aspectratio="t"/>
            <w10:wrap type="none"/>
            <w10:anchorlock/>
          </v:shape>
          <o:OLEObject Type="Embed" ProgID="Equation.DSMT4" ShapeID="_x0000_i1062" DrawAspect="Content" ObjectID="_1468075762" r:id="rId98">
            <o:LockedField>false</o:LockedField>
          </o:OLEObject>
        </w:object>
      </w:r>
      <w:r>
        <w:rPr>
          <w:color w:val="000000"/>
        </w:rPr>
        <w:t>式计算误差，考虑不确定度评定时，0.5</w:t>
      </w:r>
      <w:r>
        <w:rPr>
          <w:rFonts w:hint="eastAsia"/>
          <w:color w:val="000000"/>
        </w:rPr>
        <w:t xml:space="preserve"> </w:t>
      </w:r>
      <w:r>
        <w:rPr>
          <w:i/>
          <w:iCs/>
          <w:color w:val="000000"/>
        </w:rPr>
        <w:t>d</w:t>
      </w:r>
      <w:r>
        <w:rPr>
          <w:color w:val="000000"/>
        </w:rPr>
        <w:t>为常量，不产生不确定度分量，</w:t>
      </w:r>
      <w:r>
        <w:t>Δ</w:t>
      </w:r>
      <w:r>
        <w:rPr>
          <w:i/>
          <w:iCs/>
        </w:rPr>
        <w:t>L</w:t>
      </w:r>
      <w:r>
        <w:rPr>
          <w:color w:val="000000"/>
        </w:rPr>
        <w:t>为附加砝码，相对</w:t>
      </w:r>
      <w:r>
        <w:rPr>
          <w:i/>
          <w:color w:val="000000"/>
        </w:rPr>
        <w:t>I</w:t>
      </w:r>
      <w:r>
        <w:rPr>
          <w:color w:val="000000"/>
        </w:rPr>
        <w:t>和</w:t>
      </w:r>
      <w:r>
        <w:rPr>
          <w:i/>
          <w:color w:val="000000"/>
        </w:rPr>
        <w:t>L</w:t>
      </w:r>
      <w:r>
        <w:rPr>
          <w:color w:val="000000"/>
        </w:rPr>
        <w:t>至少小一个数量级，也可忽略，因而测量模型与（</w:t>
      </w:r>
      <w:r>
        <w:rPr>
          <w:rFonts w:hint="eastAsia"/>
          <w:color w:val="000000"/>
        </w:rPr>
        <w:t>B.1</w:t>
      </w:r>
      <w:r>
        <w:rPr>
          <w:color w:val="000000"/>
        </w:rPr>
        <w:t>）</w:t>
      </w:r>
      <w:r>
        <w:rPr>
          <w:rFonts w:hint="eastAsia"/>
          <w:color w:val="000000"/>
        </w:rPr>
        <w:t>相同。</w:t>
      </w:r>
    </w:p>
    <w:p w14:paraId="43252613">
      <w:pPr>
        <w:ind w:left="0" w:firstLine="240" w:firstLineChars="100"/>
        <w:rPr>
          <w:spacing w:val="20"/>
        </w:rPr>
      </w:pPr>
      <w:r>
        <w:rPr>
          <w:rFonts w:hint="eastAsia"/>
        </w:rPr>
        <w:t>合成标准不确定度的计算公式：</w:t>
      </w:r>
    </w:p>
    <w:p w14:paraId="03328ED5">
      <w:pPr>
        <w:tabs>
          <w:tab w:val="right" w:pos="9120"/>
        </w:tabs>
        <w:ind w:left="0" w:firstLine="1680" w:firstLineChars="700"/>
        <w:rPr>
          <w:spacing w:val="20"/>
        </w:rPr>
      </w:pPr>
      <w:r>
        <w:rPr>
          <w:position w:val="-10"/>
        </w:rPr>
        <w:object>
          <v:shape id="_x0000_i1063" o:spt="75" type="#_x0000_t75" style="height:18pt;width:106.5pt;" o:ole="t" filled="f" o:preferrelative="t" stroked="f" coordsize="21600,21600">
            <v:path/>
            <v:fill on="f" focussize="0,0"/>
            <v:stroke on="f" joinstyle="miter"/>
            <v:imagedata r:id="rId101" o:title=""/>
            <o:lock v:ext="edit" aspectratio="t"/>
            <w10:wrap type="none"/>
            <w10:anchorlock/>
          </v:shape>
          <o:OLEObject Type="Embed" ProgID="Equation.DSMT4" ShapeID="_x0000_i1063" DrawAspect="Content" ObjectID="_1468075763" r:id="rId100">
            <o:LockedField>false</o:LockedField>
          </o:OLEObject>
        </w:object>
      </w:r>
      <w:r>
        <w:rPr>
          <w:rFonts w:hint="eastAsia"/>
          <w:spacing w:val="20"/>
        </w:rPr>
        <w:tab/>
      </w:r>
      <w:r>
        <w:rPr>
          <w:rFonts w:hint="eastAsia"/>
          <w:spacing w:val="20"/>
        </w:rPr>
        <w:t>（B</w:t>
      </w:r>
      <w:r>
        <w:rPr>
          <w:spacing w:val="20"/>
        </w:rPr>
        <w:t>.</w:t>
      </w:r>
      <w:r>
        <w:rPr>
          <w:rFonts w:hint="eastAsia"/>
          <w:spacing w:val="20"/>
        </w:rPr>
        <w:t>2）</w:t>
      </w:r>
    </w:p>
    <w:p w14:paraId="459E3262">
      <w:pPr>
        <w:adjustRightInd w:val="0"/>
        <w:snapToGrid w:val="0"/>
        <w:spacing w:line="360" w:lineRule="auto"/>
        <w:rPr>
          <w:lang w:val="en-GB"/>
        </w:rPr>
      </w:pPr>
      <w:r>
        <w:rPr>
          <w:rFonts w:hint="eastAsia"/>
          <w:spacing w:val="20"/>
        </w:rPr>
        <w:t>B</w:t>
      </w:r>
      <w:r>
        <w:rPr>
          <w:spacing w:val="20"/>
        </w:rPr>
        <w:t>.</w:t>
      </w:r>
      <w:r>
        <w:rPr>
          <w:rFonts w:hint="eastAsia"/>
          <w:spacing w:val="20"/>
        </w:rPr>
        <w:t>3</w:t>
      </w:r>
      <w:r>
        <w:rPr>
          <w:rFonts w:hint="eastAsia"/>
          <w:lang w:val="en-GB"/>
        </w:rPr>
        <w:t>标准不确定度评定</w:t>
      </w:r>
    </w:p>
    <w:p w14:paraId="60FFAB80">
      <w:pPr>
        <w:ind w:left="141" w:leftChars="59"/>
        <w:rPr>
          <w:bCs/>
        </w:rPr>
      </w:pPr>
      <w:r>
        <w:rPr>
          <w:rFonts w:hint="eastAsia"/>
          <w:spacing w:val="20"/>
        </w:rPr>
        <w:t>B</w:t>
      </w:r>
      <w:r>
        <w:rPr>
          <w:spacing w:val="20"/>
        </w:rPr>
        <w:t>.</w:t>
      </w:r>
      <w:r>
        <w:rPr>
          <w:rFonts w:hint="eastAsia"/>
        </w:rPr>
        <w:t xml:space="preserve">3.1 </w:t>
      </w:r>
      <w:r>
        <w:t>称重系统分辨力引入的标准不确定度</w:t>
      </w:r>
      <w:r>
        <w:rPr>
          <w:position w:val="-10"/>
        </w:rPr>
        <w:object>
          <v:shape id="_x0000_i1064" o:spt="75" type="#_x0000_t75" style="height:16.5pt;width:31.5pt;" o:ole="t" filled="f" o:preferrelative="t" stroked="f" coordsize="21600,21600">
            <v:path/>
            <v:fill on="f" focussize="0,0"/>
            <v:stroke on="f" joinstyle="miter"/>
            <v:imagedata r:id="rId35" o:title=""/>
            <o:lock v:ext="edit" aspectratio="t"/>
            <w10:wrap type="none"/>
            <w10:anchorlock/>
          </v:shape>
          <o:OLEObject Type="Embed" ProgID="Equation.DSMT4" ShapeID="_x0000_i1064" DrawAspect="Content" ObjectID="_1468075764" r:id="rId102">
            <o:LockedField>false</o:LockedField>
          </o:OLEObject>
        </w:object>
      </w:r>
    </w:p>
    <w:p w14:paraId="4B632C6F">
      <w:pPr>
        <w:ind w:left="0"/>
        <w:rPr>
          <w:bCs/>
        </w:rPr>
      </w:pPr>
      <w:r>
        <w:rPr>
          <w:rFonts w:hint="eastAsia"/>
        </w:rPr>
        <w:t xml:space="preserve">   </w:t>
      </w:r>
      <w:r>
        <w:t>称重系统分辨力为</w:t>
      </w:r>
      <w:r>
        <w:rPr>
          <w:i/>
        </w:rPr>
        <w:t>d</w:t>
      </w:r>
      <w:r>
        <w:t>，</w:t>
      </w:r>
      <w:r>
        <w:rPr>
          <w:color w:val="000000"/>
        </w:rPr>
        <w:t>使用扩展指示装置，</w:t>
      </w:r>
      <w:r>
        <w:rPr>
          <w:rFonts w:hint="eastAsia"/>
        </w:rPr>
        <w:t>其区间半宽度为</w:t>
      </w:r>
      <w:r>
        <w:rPr>
          <w:position w:val="-6"/>
        </w:rPr>
        <w:object>
          <v:shape id="_x0000_i1065" o:spt="75" type="#_x0000_t75" style="height:14pt;width:40pt;" o:ole="t" filled="f" o:preferrelative="t" stroked="f" coordsize="21600,21600">
            <v:path/>
            <v:fill on="f" focussize="0,0"/>
            <v:stroke on="f" joinstyle="miter"/>
            <v:imagedata r:id="rId37" o:title=""/>
            <o:lock v:ext="edit" aspectratio="t"/>
            <w10:wrap type="none"/>
            <w10:anchorlock/>
          </v:shape>
          <o:OLEObject Type="Embed" ProgID="Equation.DSMT4" ShapeID="_x0000_i1065" DrawAspect="Content" ObjectID="_1468075765" r:id="rId103">
            <o:LockedField>false</o:LockedField>
          </o:OLEObject>
        </w:object>
      </w:r>
      <w:r>
        <w:rPr>
          <w:rFonts w:hint="eastAsia"/>
        </w:rPr>
        <w:t>，服从矩形分布，其标准不确定度为：</w:t>
      </w:r>
    </w:p>
    <w:p w14:paraId="36AC7D7C">
      <w:pPr>
        <w:tabs>
          <w:tab w:val="right" w:pos="9120"/>
        </w:tabs>
        <w:ind w:left="0" w:firstLine="1440" w:firstLineChars="600"/>
        <w:rPr>
          <w:bCs/>
        </w:rPr>
      </w:pPr>
      <w:r>
        <w:rPr>
          <w:position w:val="-10"/>
        </w:rPr>
        <w:object>
          <v:shape id="_x0000_i1066" o:spt="75" type="#_x0000_t75" style="height:19pt;width:204.5pt;" o:ole="t" filled="f" o:preferrelative="t" stroked="f" coordsize="21600,21600">
            <v:path/>
            <v:fill on="f" focussize="0,0"/>
            <v:stroke on="f" joinstyle="miter"/>
            <v:imagedata r:id="rId39" o:title=""/>
            <o:lock v:ext="edit" aspectratio="t"/>
            <w10:wrap type="none"/>
            <w10:anchorlock/>
          </v:shape>
          <o:OLEObject Type="Embed" ProgID="Equation.DSMT4" ShapeID="_x0000_i1066" DrawAspect="Content" ObjectID="_1468075766" r:id="rId104">
            <o:LockedField>false</o:LockedField>
          </o:OLEObject>
        </w:object>
      </w:r>
      <w:r>
        <w:rPr>
          <w:rFonts w:hint="eastAsia"/>
          <w:position w:val="-12"/>
        </w:rPr>
        <w:t xml:space="preserve">                      </w:t>
      </w:r>
      <w:r>
        <w:rPr>
          <w:rFonts w:hint="eastAsia"/>
          <w:spacing w:val="20"/>
        </w:rPr>
        <w:t>（B</w:t>
      </w:r>
      <w:r>
        <w:rPr>
          <w:spacing w:val="20"/>
        </w:rPr>
        <w:t>.</w:t>
      </w:r>
      <w:r>
        <w:rPr>
          <w:rFonts w:hint="eastAsia"/>
          <w:spacing w:val="20"/>
        </w:rPr>
        <w:t>3）</w:t>
      </w:r>
    </w:p>
    <w:p w14:paraId="1256CBC0">
      <w:pPr>
        <w:ind w:left="141" w:leftChars="59"/>
        <w:rPr>
          <w:bCs/>
        </w:rPr>
      </w:pPr>
      <w:r>
        <w:rPr>
          <w:rFonts w:hint="eastAsia"/>
          <w:spacing w:val="20"/>
        </w:rPr>
        <w:t>B</w:t>
      </w:r>
      <w:r>
        <w:rPr>
          <w:spacing w:val="20"/>
        </w:rPr>
        <w:t>.</w:t>
      </w:r>
      <w:r>
        <w:rPr>
          <w:rFonts w:hint="eastAsia"/>
        </w:rPr>
        <w:t>3.2 重复性引起的标准不确定度</w:t>
      </w:r>
      <w:r>
        <w:rPr>
          <w:position w:val="-14"/>
        </w:rPr>
        <w:object>
          <v:shape id="_x0000_i1067" o:spt="75" type="#_x0000_t75" style="height:19pt;width:41.5pt;" o:ole="t" filled="f" o:preferrelative="t" stroked="f" coordsize="21600,21600">
            <v:path/>
            <v:fill on="f" focussize="0,0"/>
            <v:stroke on="f" joinstyle="miter"/>
            <v:imagedata r:id="rId41" o:title=""/>
            <o:lock v:ext="edit" aspectratio="t"/>
            <w10:wrap type="none"/>
            <w10:anchorlock/>
          </v:shape>
          <o:OLEObject Type="Embed" ProgID="Equation.DSMT4" ShapeID="_x0000_i1067" DrawAspect="Content" ObjectID="_1468075767" r:id="rId105">
            <o:LockedField>false</o:LockedField>
          </o:OLEObject>
        </w:object>
      </w:r>
    </w:p>
    <w:p w14:paraId="26D34617">
      <w:pPr>
        <w:ind w:left="0"/>
        <w:rPr>
          <w:bCs/>
        </w:rPr>
      </w:pPr>
      <w:r>
        <w:rPr>
          <w:rFonts w:hint="eastAsia"/>
        </w:rPr>
        <w:t xml:space="preserve">   重复性为连续加载标准载荷单元测量得到测量列，采用A类方法进行评定。以称重物料罐50%最大称量点，在重复性条件下连续测量3次，得到测量列为：</w:t>
      </w:r>
    </w:p>
    <w:p w14:paraId="1234A2D2">
      <w:pPr>
        <w:ind w:left="0"/>
        <w:rPr>
          <w:bCs/>
        </w:rPr>
      </w:pPr>
      <w:r>
        <w:rPr>
          <w:rFonts w:hint="eastAsia"/>
          <w:bCs/>
        </w:rPr>
        <w:t>575.05 kg、575.00 kg、575.10 kg。</w:t>
      </w:r>
    </w:p>
    <w:p w14:paraId="08570A30">
      <w:pPr>
        <w:ind w:left="0" w:firstLine="480" w:firstLineChars="200"/>
        <w:rPr>
          <w:bCs/>
        </w:rPr>
      </w:pPr>
      <w:r>
        <w:rPr>
          <w:position w:val="-14"/>
        </w:rPr>
        <w:object>
          <v:shape id="_x0000_i1068" o:spt="75" type="#_x0000_t75" style="height:19pt;width:41.5pt;" o:ole="t" filled="f" o:preferrelative="t" stroked="f" coordsize="21600,21600">
            <v:path/>
            <v:fill on="f" focussize="0,0"/>
            <v:stroke on="f" joinstyle="miter"/>
            <v:imagedata r:id="rId41" o:title=""/>
            <o:lock v:ext="edit" aspectratio="t"/>
            <w10:wrap type="none"/>
            <w10:anchorlock/>
          </v:shape>
          <o:OLEObject Type="Embed" ProgID="Equation.DSMT4" ShapeID="_x0000_i1068" DrawAspect="Content" ObjectID="_1468075768" r:id="rId106">
            <o:LockedField>false</o:LockedField>
          </o:OLEObject>
        </w:object>
      </w:r>
      <w:r>
        <w:rPr>
          <w:rFonts w:hint="eastAsia"/>
        </w:rPr>
        <w:t>表示称重物料罐重复性，用极差法来表示，其标准不确定度为：</w:t>
      </w:r>
    </w:p>
    <w:p w14:paraId="0E2E9A40">
      <w:pPr>
        <w:tabs>
          <w:tab w:val="right" w:pos="9120"/>
        </w:tabs>
        <w:ind w:left="0" w:firstLine="1440" w:firstLineChars="600"/>
        <w:rPr>
          <w:bCs/>
        </w:rPr>
      </w:pPr>
      <w:r>
        <w:rPr>
          <w:position w:val="-24"/>
        </w:rPr>
        <w:object>
          <v:shape id="_x0000_i1069" o:spt="75" type="#_x0000_t75" style="height:30.5pt;width:158.5pt;" o:ole="t" filled="f" o:preferrelative="t" stroked="f" coordsize="21600,21600">
            <v:path/>
            <v:fill on="f" focussize="0,0"/>
            <v:stroke on="f" joinstyle="miter"/>
            <v:imagedata r:id="rId108" o:title=""/>
            <o:lock v:ext="edit" aspectratio="t"/>
            <w10:wrap type="none"/>
            <w10:anchorlock/>
          </v:shape>
          <o:OLEObject Type="Embed" ProgID="Equation.DSMT4" ShapeID="_x0000_i1069" DrawAspect="Content" ObjectID="_1468075769" r:id="rId107">
            <o:LockedField>false</o:LockedField>
          </o:OLEObject>
        </w:object>
      </w:r>
      <w:r>
        <w:rPr>
          <w:rFonts w:hint="eastAsia"/>
          <w:position w:val="-14"/>
        </w:rPr>
        <w:t xml:space="preserve">                               </w:t>
      </w:r>
      <w:r>
        <w:rPr>
          <w:rFonts w:hint="eastAsia"/>
          <w:spacing w:val="20"/>
        </w:rPr>
        <w:t>（B</w:t>
      </w:r>
      <w:r>
        <w:rPr>
          <w:spacing w:val="20"/>
        </w:rPr>
        <w:t>.</w:t>
      </w:r>
      <w:r>
        <w:rPr>
          <w:rFonts w:hint="eastAsia"/>
          <w:spacing w:val="20"/>
        </w:rPr>
        <w:t>4）</w:t>
      </w:r>
    </w:p>
    <w:p w14:paraId="2CE02F51">
      <w:pPr>
        <w:ind w:left="0" w:firstLine="480"/>
        <w:rPr>
          <w:bCs/>
        </w:rPr>
      </w:pPr>
      <w:r>
        <w:rPr>
          <w:rFonts w:hint="eastAsia"/>
        </w:rPr>
        <w:t>因为只进行一组重复性测量，则该测量的重复性引入的不确定度分量代表称重物料罐整个量程的重复性不确定度。</w:t>
      </w:r>
    </w:p>
    <w:p w14:paraId="2F83F465">
      <w:pPr>
        <w:ind w:left="0"/>
        <w:rPr>
          <w:bCs/>
        </w:rPr>
      </w:pPr>
      <w:r>
        <w:rPr>
          <w:rFonts w:hint="eastAsia"/>
          <w:spacing w:val="20"/>
        </w:rPr>
        <w:t>B</w:t>
      </w:r>
      <w:r>
        <w:rPr>
          <w:spacing w:val="20"/>
        </w:rPr>
        <w:t>.</w:t>
      </w:r>
      <w:r>
        <w:rPr>
          <w:rFonts w:hint="eastAsia"/>
        </w:rPr>
        <w:t>3.3 同一载荷在不同位置的重心偏离引起的标准不确定度</w:t>
      </w:r>
      <w:r>
        <w:rPr>
          <w:position w:val="-12"/>
        </w:rPr>
        <w:object>
          <v:shape id="_x0000_i1070" o:spt="75" type="#_x0000_t75" style="height:18pt;width:41.5pt;" o:ole="t" filled="f" o:preferrelative="t" stroked="f" coordsize="21600,21600">
            <v:path/>
            <v:fill on="f" focussize="0,0"/>
            <v:stroke on="f" joinstyle="miter"/>
            <v:imagedata r:id="rId46" o:title=""/>
            <o:lock v:ext="edit" aspectratio="t"/>
            <w10:wrap type="none"/>
            <w10:anchorlock/>
          </v:shape>
          <o:OLEObject Type="Embed" ProgID="Equation.DSMT4" ShapeID="_x0000_i1070" DrawAspect="Content" ObjectID="_1468075770" r:id="rId109">
            <o:LockedField>false</o:LockedField>
          </o:OLEObject>
        </w:object>
      </w:r>
      <w:r>
        <w:rPr>
          <w:rFonts w:hint="eastAsia"/>
        </w:rPr>
        <w:t>（若适用）</w:t>
      </w:r>
    </w:p>
    <w:p w14:paraId="7443827B">
      <w:pPr>
        <w:ind w:left="0" w:firstLine="480" w:firstLineChars="200"/>
      </w:pPr>
      <w:r>
        <w:rPr>
          <w:position w:val="-12"/>
        </w:rPr>
        <w:object>
          <v:shape id="_x0000_i1071" o:spt="75" type="#_x0000_t75" style="height:18pt;width:25pt;" o:ole="t" filled="f" o:preferrelative="t" stroked="f" coordsize="21600,21600">
            <v:path/>
            <v:fill on="f" focussize="0,0"/>
            <v:stroke on="f" joinstyle="miter"/>
            <v:imagedata r:id="rId48" o:title=""/>
            <o:lock v:ext="edit" aspectratio="t"/>
            <w10:wrap type="none"/>
            <w10:anchorlock/>
          </v:shape>
          <o:OLEObject Type="Embed" ProgID="Equation.DSMT4" ShapeID="_x0000_i1071" DrawAspect="Content" ObjectID="_1468075771" r:id="rId110">
            <o:LockedField>false</o:LockedField>
          </o:OLEObject>
        </w:object>
      </w:r>
      <w:r>
        <w:t>表示由于试验载荷重心的偏心位置引起的误差</w:t>
      </w:r>
      <w:r>
        <w:rPr>
          <w:rFonts w:hint="eastAsia"/>
        </w:rPr>
        <w:t>。</w:t>
      </w:r>
    </w:p>
    <w:p w14:paraId="5CF1A6F0">
      <w:pPr>
        <w:ind w:left="0" w:firstLine="480" w:firstLineChars="200"/>
      </w:pPr>
      <w:r>
        <w:rPr>
          <w:rFonts w:hint="eastAsia"/>
        </w:rPr>
        <w:t>公式</w:t>
      </w:r>
      <w:r>
        <w:rPr>
          <w:position w:val="-12"/>
        </w:rPr>
        <w:object>
          <v:shape id="_x0000_i1072" o:spt="75" type="#_x0000_t75" style="height:18pt;width:73pt;" o:ole="t" filled="f" o:preferrelative="t" stroked="f" coordsize="21600,21600">
            <v:path/>
            <v:fill on="f" focussize="0,0"/>
            <v:stroke on="f" joinstyle="miter"/>
            <v:imagedata r:id="rId50" o:title=""/>
            <o:lock v:ext="edit" aspectratio="t"/>
            <w10:wrap type="none"/>
            <w10:anchorlock/>
          </v:shape>
          <o:OLEObject Type="Embed" ProgID="Equation.DSMT4" ShapeID="_x0000_i1072" DrawAspect="Content" ObjectID="_1468075772" r:id="rId111">
            <o:LockedField>false</o:LockedField>
          </o:OLEObject>
        </w:object>
      </w:r>
      <w:r>
        <w:t>，其中，</w:t>
      </w:r>
      <w:r>
        <w:rPr>
          <w:rFonts w:hint="eastAsia"/>
          <w:i/>
        </w:rPr>
        <w:t>I</w:t>
      </w:r>
      <w:r>
        <w:rPr>
          <w:rFonts w:hint="eastAsia"/>
          <w:i/>
          <w:vertAlign w:val="subscript"/>
        </w:rPr>
        <w:t>Li</w:t>
      </w:r>
      <w:r>
        <w:rPr>
          <w:rFonts w:hint="eastAsia"/>
        </w:rPr>
        <w:t>为第</w:t>
      </w:r>
      <w:r>
        <w:t>i</w:t>
      </w:r>
      <w:r>
        <w:rPr>
          <w:rFonts w:hint="eastAsia"/>
        </w:rPr>
        <w:t>个位置显示值，</w:t>
      </w:r>
      <w:r>
        <w:rPr>
          <w:rFonts w:hint="eastAsia"/>
          <w:i/>
        </w:rPr>
        <w:t>I</w:t>
      </w:r>
      <w:r>
        <w:rPr>
          <w:rFonts w:hint="eastAsia"/>
          <w:i/>
          <w:vertAlign w:val="subscript"/>
        </w:rPr>
        <w:t>L</w:t>
      </w:r>
      <w:r>
        <w:rPr>
          <w:rFonts w:hint="eastAsia"/>
          <w:iCs/>
          <w:vertAlign w:val="subscript"/>
        </w:rPr>
        <w:t>1</w:t>
      </w:r>
      <w:r>
        <w:rPr>
          <w:rFonts w:hint="eastAsia"/>
        </w:rPr>
        <w:t>为载荷均匀分布时，即位置1的示值。</w:t>
      </w:r>
      <w:r>
        <w:rPr>
          <w:position w:val="-12"/>
        </w:rPr>
        <w:object>
          <v:shape id="_x0000_i1073" o:spt="75" type="#_x0000_t75" style="height:18pt;width:25pt;" o:ole="t" filled="f" o:preferrelative="t" stroked="f" coordsize="21600,21600">
            <v:path/>
            <v:fill on="f" focussize="0,0"/>
            <v:stroke on="f" joinstyle="miter"/>
            <v:imagedata r:id="rId52" o:title=""/>
            <o:lock v:ext="edit" aspectratio="t"/>
            <w10:wrap type="none"/>
            <w10:anchorlock/>
          </v:shape>
          <o:OLEObject Type="Embed" ProgID="Equation.DSMT4" ShapeID="_x0000_i1073" DrawAspect="Content" ObjectID="_1468075773" r:id="rId112">
            <o:LockedField>false</o:LockedField>
          </o:OLEObject>
        </w:object>
      </w:r>
      <w:r>
        <w:t>与载荷重心到承载器中心的距离成比例，与载荷值成比例</w:t>
      </w:r>
      <w:r>
        <w:rPr>
          <w:rFonts w:hint="eastAsia"/>
        </w:rPr>
        <w:t>。</w:t>
      </w:r>
    </w:p>
    <w:p w14:paraId="3D9E2193">
      <w:pPr>
        <w:ind w:left="0" w:firstLine="480" w:firstLineChars="200"/>
        <w:rPr>
          <w:bCs/>
        </w:rPr>
      </w:pPr>
      <w:r>
        <w:rPr>
          <w:rFonts w:hint="eastAsia"/>
        </w:rPr>
        <w:t>载荷在不同位置的测量值：</w:t>
      </w:r>
      <w:r>
        <w:rPr>
          <w:bCs/>
        </w:rPr>
        <w:t xml:space="preserve"> </w:t>
      </w:r>
    </w:p>
    <w:p w14:paraId="767ADCD1">
      <w:pPr>
        <w:ind w:left="0" w:firstLine="480" w:firstLineChars="200"/>
        <w:rPr>
          <w:bCs/>
        </w:rPr>
      </w:pPr>
      <w:r>
        <w:rPr>
          <w:rFonts w:hint="eastAsia"/>
        </w:rPr>
        <w:t>1：375.10 kg，2：374.95 kg，3：375.05 kg，4：374.95kg，5：374.95 kg。</w:t>
      </w:r>
    </w:p>
    <w:p w14:paraId="627624A7">
      <w:pPr>
        <w:ind w:left="0" w:firstLine="480" w:firstLineChars="200"/>
        <w:rPr>
          <w:bCs/>
        </w:rPr>
      </w:pPr>
      <w:r>
        <w:t>​</w:t>
      </w:r>
      <w:r>
        <w:rPr>
          <w:position w:val="-12"/>
        </w:rPr>
        <w:object>
          <v:shape id="_x0000_i1074" o:spt="75" type="#_x0000_t75" style="height:18pt;width:20pt;" o:ole="t" filled="f" o:preferrelative="t" stroked="f" coordsize="21600,21600">
            <v:path/>
            <v:fill on="f" focussize="0,0"/>
            <v:stroke on="f" joinstyle="miter"/>
            <v:imagedata r:id="rId54" o:title=""/>
            <o:lock v:ext="edit" aspectratio="t"/>
            <w10:wrap type="none"/>
            <w10:anchorlock/>
          </v:shape>
          <o:OLEObject Type="Embed" ProgID="Equation.DSMT4" ShapeID="_x0000_i1074" DrawAspect="Content" ObjectID="_1468075774" r:id="rId113">
            <o:LockedField>false</o:LockedField>
          </o:OLEObject>
        </w:object>
      </w:r>
      <w:r>
        <w:t>为偏载试验所用载荷标称值，</w:t>
      </w:r>
      <w:r>
        <w:rPr>
          <w:rFonts w:hint="eastAsia"/>
          <w:i/>
        </w:rPr>
        <w:t>I</w:t>
      </w:r>
      <w:r>
        <w:t>为载荷在不同位置的示值。其最大</w:t>
      </w:r>
      <w:r>
        <w:rPr>
          <w:rFonts w:hint="eastAsia"/>
        </w:rPr>
        <w:t>差值</w:t>
      </w:r>
      <w:r>
        <w:rPr>
          <w:position w:val="-14"/>
        </w:rPr>
        <w:object>
          <v:shape id="_x0000_i1075" o:spt="75" type="#_x0000_t75" style="height:20pt;width:43pt;" o:ole="t" filled="f" o:preferrelative="t" stroked="f" coordsize="21600,21600">
            <v:path/>
            <v:fill on="f" focussize="0,0"/>
            <v:stroke on="f" joinstyle="miter"/>
            <v:imagedata r:id="rId56" o:title=""/>
            <o:lock v:ext="edit" aspectratio="t"/>
            <w10:wrap type="none"/>
            <w10:anchorlock/>
          </v:shape>
          <o:OLEObject Type="Embed" ProgID="Equation.DSMT4" ShapeID="_x0000_i1075" DrawAspect="Content" ObjectID="_1468075775" r:id="rId114">
            <o:LockedField>false</o:LockedField>
          </o:OLEObject>
        </w:object>
      </w:r>
      <w:r>
        <w:t>符合</w:t>
      </w:r>
      <w:r>
        <w:rPr>
          <w:rFonts w:hint="eastAsia"/>
        </w:rPr>
        <w:t>矩形</w:t>
      </w:r>
      <w:r>
        <w:t>分布，</w:t>
      </w:r>
      <w:r>
        <w:rPr>
          <w:rFonts w:hint="eastAsia"/>
        </w:rPr>
        <w:t>其</w:t>
      </w:r>
      <w:r>
        <w:t>标准不确定度为：</w:t>
      </w:r>
    </w:p>
    <w:p w14:paraId="6968F5B4">
      <w:pPr>
        <w:tabs>
          <w:tab w:val="right" w:pos="9120"/>
        </w:tabs>
        <w:ind w:left="0" w:firstLine="480" w:firstLineChars="200"/>
        <w:rPr>
          <w:position w:val="-14"/>
        </w:rPr>
      </w:pPr>
      <w:r>
        <w:rPr>
          <w:rFonts w:hint="eastAsia"/>
          <w:color w:val="00B050"/>
          <w:position w:val="-10"/>
        </w:rPr>
        <w:t xml:space="preserve">  </w:t>
      </w:r>
      <w:r>
        <w:rPr>
          <w:position w:val="-14"/>
        </w:rPr>
        <w:object>
          <v:shape id="_x0000_i1076" o:spt="75" type="#_x0000_t75" style="height:21.5pt;width:151pt;" o:ole="t" filled="f" o:preferrelative="t" stroked="f" coordsize="21600,21600">
            <v:path/>
            <v:fill on="f" focussize="0,0"/>
            <v:stroke on="f" joinstyle="miter"/>
            <v:imagedata r:id="rId58" o:title=""/>
            <o:lock v:ext="edit" aspectratio="t"/>
            <w10:wrap type="none"/>
            <w10:anchorlock/>
          </v:shape>
          <o:OLEObject Type="Embed" ProgID="Equation.DSMT4" ShapeID="_x0000_i1076" DrawAspect="Content" ObjectID="_1468075776" r:id="rId115">
            <o:LockedField>false</o:LockedField>
          </o:OLEObject>
        </w:object>
      </w:r>
      <w:r>
        <w:rPr>
          <w:rFonts w:hint="eastAsia"/>
          <w:position w:val="-14"/>
        </w:rPr>
        <w:t xml:space="preserve">                                      </w:t>
      </w:r>
      <w:r>
        <w:rPr>
          <w:rFonts w:hint="eastAsia"/>
          <w:spacing w:val="20"/>
        </w:rPr>
        <w:t>（B</w:t>
      </w:r>
      <w:r>
        <w:rPr>
          <w:spacing w:val="20"/>
        </w:rPr>
        <w:t>.</w:t>
      </w:r>
      <w:r>
        <w:rPr>
          <w:rFonts w:hint="eastAsia"/>
          <w:spacing w:val="20"/>
        </w:rPr>
        <w:t>5）</w:t>
      </w:r>
    </w:p>
    <w:p w14:paraId="7AA6EED3">
      <w:pPr>
        <w:ind w:left="1485" w:leftChars="619" w:firstLine="1920" w:firstLineChars="800"/>
      </w:pPr>
      <m:oMathPara>
        <m:oMathParaPr>
          <m:jc m:val="left"/>
        </m:oMathParaPr>
        <m:oMath>
          <m:r>
            <m:rPr>
              <m:nor/>
              <m:sty m:val="p"/>
            </m:rPr>
            <w:rPr>
              <w:b w:val="0"/>
              <w:i w:val="0"/>
            </w:rPr>
            <m:t>=975.20kg×0.15kg/(2×375.20kg×</m:t>
          </m:r>
          <m:rad>
            <m:radPr>
              <m:degHide m:val="1"/>
              <m:ctrlPr>
                <w:rPr>
                  <w:rFonts w:ascii="Cambria Math" w:hAnsi="Cambria Math"/>
                </w:rPr>
              </m:ctrlPr>
            </m:radPr>
            <m:deg>
              <m:ctrlPr>
                <w:rPr>
                  <w:rFonts w:ascii="Cambria Math" w:hAnsi="Cambria Math"/>
                </w:rPr>
              </m:ctrlPr>
            </m:deg>
            <m:e>
              <m:r>
                <m:rPr>
                  <m:nor/>
                  <m:sty m:val="p"/>
                </m:rPr>
                <w:rPr>
                  <w:b w:val="0"/>
                  <w:i w:val="0"/>
                </w:rPr>
                <m:t>3</m:t>
              </m:r>
              <m:ctrlPr>
                <w:rPr>
                  <w:rFonts w:ascii="Cambria Math" w:hAnsi="Cambria Math"/>
                </w:rPr>
              </m:ctrlPr>
            </m:e>
          </m:rad>
          <m:r>
            <m:rPr>
              <m:nor/>
              <m:sty m:val="p"/>
            </m:rPr>
            <w:rPr>
              <w:b w:val="0"/>
              <w:i w:val="0"/>
            </w:rPr>
            <m:t>)</m:t>
          </m:r>
        </m:oMath>
      </m:oMathPara>
    </w:p>
    <w:p w14:paraId="71251F31">
      <w:pPr>
        <w:ind w:left="0" w:firstLine="1504" w:firstLineChars="627"/>
        <w:rPr>
          <w:color w:val="00B050"/>
          <w:position w:val="-28"/>
        </w:rPr>
      </w:pPr>
      <w:r>
        <w:rPr>
          <w:rFonts w:hint="eastAsia"/>
          <w:position w:val="-8"/>
        </w:rPr>
        <w:t>= 0.113 kg</w:t>
      </w:r>
    </w:p>
    <w:p w14:paraId="382A9576">
      <w:pPr>
        <w:ind w:left="0"/>
        <w:rPr>
          <w:position w:val="-12"/>
        </w:rPr>
      </w:pPr>
      <w:r>
        <w:rPr>
          <w:rFonts w:hint="eastAsia"/>
          <w:spacing w:val="20"/>
        </w:rPr>
        <w:t>B</w:t>
      </w:r>
      <w:r>
        <w:rPr>
          <w:spacing w:val="20"/>
        </w:rPr>
        <w:t>.</w:t>
      </w:r>
      <w:r>
        <w:rPr>
          <w:rFonts w:hint="eastAsia"/>
        </w:rPr>
        <w:t>3.4 蠕变和滞后引起的标准不确定度</w:t>
      </w:r>
      <w:r>
        <w:rPr>
          <w:position w:val="-12"/>
        </w:rPr>
        <w:object>
          <v:shape id="_x0000_i1077" o:spt="75" type="#_x0000_t75" style="height:18pt;width:44.5pt;" o:ole="t" filled="f" o:preferrelative="t" stroked="f" coordsize="21600,21600">
            <v:path/>
            <v:fill on="f" focussize="0,0"/>
            <v:stroke on="f" joinstyle="miter"/>
            <v:imagedata r:id="rId60" o:title=""/>
            <o:lock v:ext="edit" aspectratio="t"/>
            <w10:wrap type="none"/>
            <w10:anchorlock/>
          </v:shape>
          <o:OLEObject Type="Embed" ProgID="Equation.DSMT4" ShapeID="_x0000_i1077" DrawAspect="Content" ObjectID="_1468075777" r:id="rId116">
            <o:LockedField>false</o:LockedField>
          </o:OLEObject>
        </w:object>
      </w:r>
      <w:r>
        <w:rPr>
          <w:rFonts w:hint="eastAsia"/>
        </w:rPr>
        <w:t>（若适用）</w:t>
      </w:r>
    </w:p>
    <w:p w14:paraId="54B490AE">
      <w:pPr>
        <w:ind w:left="0" w:firstLine="480" w:firstLineChars="200"/>
      </w:pPr>
      <w:r>
        <w:t>由于量程较大，要不断进行加/卸载，所用时间较长，因此需要考虑蠕变和滞后的影响。可</w:t>
      </w:r>
      <w:r>
        <w:rPr>
          <w:rFonts w:hint="eastAsia"/>
        </w:rPr>
        <w:t>将</w:t>
      </w:r>
      <w:r>
        <w:t>相同载荷在进程和回程的最大差值Δ</w:t>
      </w:r>
      <w:r>
        <w:rPr>
          <w:rFonts w:hint="eastAsia"/>
          <w:vertAlign w:val="subscript"/>
        </w:rPr>
        <w:t>jmax</w:t>
      </w:r>
      <w:r>
        <w:t>作为蠕变和滞后影响的极限值</w:t>
      </w:r>
      <w:r>
        <w:rPr>
          <w:rFonts w:hint="eastAsia"/>
        </w:rPr>
        <w:t>。</w:t>
      </w:r>
      <w:r>
        <w:t>如无此数据，可把最后回零时零点示值</w:t>
      </w:r>
      <w:r>
        <w:rPr>
          <w:rFonts w:hint="eastAsia"/>
          <w:i/>
        </w:rPr>
        <w:t>E</w:t>
      </w:r>
      <w:r>
        <w:rPr>
          <w:rFonts w:hint="eastAsia"/>
          <w:vertAlign w:val="subscript"/>
        </w:rPr>
        <w:t>0</w:t>
      </w:r>
      <w:r>
        <w:t>作为蠕变和滞后的影响的极限值</w:t>
      </w:r>
      <w:r>
        <w:rPr>
          <w:rFonts w:hint="eastAsia"/>
        </w:rPr>
        <w:t>，其标准不确定度为：</w:t>
      </w:r>
    </w:p>
    <w:p w14:paraId="2E1F419F">
      <w:pPr>
        <w:ind w:left="0" w:firstLine="480" w:firstLineChars="200"/>
      </w:pPr>
      <w:r>
        <w:rPr>
          <w:position w:val="-12"/>
        </w:rPr>
        <w:object>
          <v:shape id="_x0000_i1078" o:spt="75" type="#_x0000_t75" style="height:20pt;width:154.5pt;" o:ole="t" filled="f" o:preferrelative="t" stroked="f" coordsize="21600,21600">
            <v:path/>
            <v:fill on="f" focussize="0,0"/>
            <v:stroke on="f" joinstyle="miter"/>
            <v:imagedata r:id="rId118" o:title=""/>
            <o:lock v:ext="edit" aspectratio="t"/>
            <w10:wrap type="none"/>
            <w10:anchorlock/>
          </v:shape>
          <o:OLEObject Type="Embed" ProgID="Equation.DSMT4" ShapeID="_x0000_i1078" DrawAspect="Content" ObjectID="_1468075778" r:id="rId117">
            <o:LockedField>false</o:LockedField>
          </o:OLEObject>
        </w:object>
      </w:r>
      <w:r>
        <w:rPr>
          <w:rFonts w:hint="eastAsia"/>
          <w:position w:val="-12"/>
        </w:rPr>
        <w:t xml:space="preserve">                                       </w:t>
      </w:r>
      <w:r>
        <w:rPr>
          <w:rFonts w:hint="eastAsia"/>
          <w:spacing w:val="20"/>
        </w:rPr>
        <w:t>（B</w:t>
      </w:r>
      <w:r>
        <w:rPr>
          <w:spacing w:val="20"/>
        </w:rPr>
        <w:t>.</w:t>
      </w:r>
      <w:r>
        <w:rPr>
          <w:rFonts w:hint="eastAsia"/>
          <w:spacing w:val="20"/>
        </w:rPr>
        <w:t>6）</w:t>
      </w:r>
    </w:p>
    <w:p w14:paraId="00254583">
      <w:pPr>
        <w:ind w:left="0" w:firstLine="1416" w:firstLineChars="590"/>
        <w:rPr>
          <w:position w:val="-8"/>
        </w:rPr>
      </w:pPr>
      <w:r>
        <w:rPr>
          <w:position w:val="-10"/>
        </w:rPr>
        <w:object>
          <v:shape id="_x0000_i1079" o:spt="75" type="#_x0000_t75" style="height:19pt;width:203.5pt;" o:ole="t" filled="f" o:preferrelative="t" stroked="f" coordsize="21600,21600">
            <v:path/>
            <v:fill on="f" focussize="0,0"/>
            <v:stroke on="f" joinstyle="miter"/>
            <v:imagedata r:id="rId120" o:title=""/>
            <o:lock v:ext="edit" aspectratio="t"/>
            <w10:wrap type="none"/>
            <w10:anchorlock/>
          </v:shape>
          <o:OLEObject Type="Embed" ProgID="Equation.DSMT4" ShapeID="_x0000_i1079" DrawAspect="Content" ObjectID="_1468075779" r:id="rId119">
            <o:LockedField>false</o:LockedField>
          </o:OLEObject>
        </w:object>
      </w:r>
    </w:p>
    <w:p w14:paraId="30E8506A">
      <w:pPr>
        <w:ind w:left="0" w:firstLine="480" w:firstLineChars="200"/>
      </w:pPr>
      <w:r>
        <w:rPr>
          <w:rFonts w:hint="eastAsia"/>
          <w:position w:val="-8"/>
        </w:rPr>
        <w:t xml:space="preserve">        =0.043 kg</w:t>
      </w:r>
    </w:p>
    <w:p w14:paraId="5B61B139">
      <w:pPr>
        <w:ind w:left="0"/>
        <w:rPr>
          <w:bCs/>
        </w:rPr>
      </w:pPr>
      <w:r>
        <w:rPr>
          <w:rFonts w:hint="eastAsia"/>
          <w:spacing w:val="20"/>
        </w:rPr>
        <w:t>B</w:t>
      </w:r>
      <w:r>
        <w:rPr>
          <w:spacing w:val="20"/>
        </w:rPr>
        <w:t>.</w:t>
      </w:r>
      <w:r>
        <w:rPr>
          <w:rFonts w:hint="eastAsia"/>
        </w:rPr>
        <w:t>3.5 示值的标准不确定度</w:t>
      </w:r>
    </w:p>
    <w:p w14:paraId="4DD8C135">
      <w:pPr>
        <w:ind w:left="0" w:firstLine="424" w:firstLineChars="177"/>
        <w:rPr>
          <w:position w:val="-16"/>
        </w:rPr>
      </w:pPr>
      <w:r>
        <w:rPr>
          <w:position w:val="-16"/>
        </w:rPr>
        <w:object>
          <v:shape id="_x0000_i1080" o:spt="75" type="#_x0000_t75" style="height:24pt;width:241pt;" o:ole="t" filled="f" o:preferrelative="t" stroked="f" coordsize="21600,21600">
            <v:path/>
            <v:fill on="f" focussize="0,0"/>
            <v:stroke on="f" joinstyle="miter"/>
            <v:imagedata r:id="rId122" o:title=""/>
            <o:lock v:ext="edit" aspectratio="t"/>
            <w10:wrap type="none"/>
            <w10:anchorlock/>
          </v:shape>
          <o:OLEObject Type="Embed" ProgID="Equation.DSMT4" ShapeID="_x0000_i1080" DrawAspect="Content" ObjectID="_1468075780" r:id="rId121">
            <o:LockedField>false</o:LockedField>
          </o:OLEObject>
        </w:object>
      </w:r>
      <w:r>
        <w:rPr>
          <w:rFonts w:hint="eastAsia"/>
          <w:position w:val="-16"/>
        </w:rPr>
        <w:t xml:space="preserve">                         </w:t>
      </w:r>
      <w:r>
        <w:rPr>
          <w:rFonts w:hint="eastAsia"/>
          <w:spacing w:val="20"/>
        </w:rPr>
        <w:t>（B</w:t>
      </w:r>
      <w:r>
        <w:rPr>
          <w:spacing w:val="20"/>
        </w:rPr>
        <w:t>.</w:t>
      </w:r>
      <w:r>
        <w:rPr>
          <w:rFonts w:hint="eastAsia"/>
          <w:spacing w:val="20"/>
        </w:rPr>
        <w:t>7）</w:t>
      </w:r>
      <w:r>
        <w:rPr>
          <w:rFonts w:hint="eastAsia"/>
          <w:position w:val="-16"/>
        </w:rPr>
        <w:t xml:space="preserve"> </w:t>
      </w:r>
    </w:p>
    <w:p w14:paraId="0F78DE81">
      <w:pPr>
        <w:spacing w:before="156" w:after="156"/>
        <w:ind w:left="480" w:hanging="480"/>
        <w:rPr>
          <w:spacing w:val="20"/>
        </w:rPr>
      </w:pPr>
      <w:r>
        <w:rPr>
          <w:rFonts w:hint="eastAsia"/>
          <w:spacing w:val="20"/>
        </w:rPr>
        <w:t xml:space="preserve">      </w:t>
      </w:r>
      <w:r>
        <w:rPr>
          <w:rFonts w:hint="eastAsia"/>
          <w:position w:val="-8"/>
        </w:rPr>
        <w:t>=0.135 kg</w:t>
      </w:r>
    </w:p>
    <w:p w14:paraId="2AFCC2F2">
      <w:pPr>
        <w:spacing w:before="156" w:after="156"/>
        <w:ind w:left="480" w:hanging="480"/>
        <w:rPr>
          <w:lang w:val="en-GB"/>
        </w:rPr>
      </w:pPr>
      <w:r>
        <w:rPr>
          <w:rFonts w:hint="eastAsia"/>
          <w:spacing w:val="20"/>
        </w:rPr>
        <w:t>B</w:t>
      </w:r>
      <w:r>
        <w:rPr>
          <w:spacing w:val="20"/>
        </w:rPr>
        <w:t>.</w:t>
      </w:r>
      <w:r>
        <w:rPr>
          <w:rFonts w:hint="eastAsia"/>
          <w:lang w:val="en-GB"/>
        </w:rPr>
        <w:t>4  试验载荷的不确定度评定</w:t>
      </w:r>
    </w:p>
    <w:p w14:paraId="3DCF8DB7">
      <w:pPr>
        <w:ind w:left="0" w:firstLine="480" w:firstLineChars="200"/>
      </w:pPr>
      <w:r>
        <w:rPr>
          <w:rFonts w:hint="eastAsia"/>
        </w:rPr>
        <w:t>试验载荷由标准砝码组成。</w:t>
      </w:r>
    </w:p>
    <w:p w14:paraId="5E7C6A1D">
      <w:pPr>
        <w:ind w:left="0" w:firstLine="480" w:firstLineChars="200"/>
        <w:rPr>
          <w:bCs/>
        </w:rPr>
      </w:pPr>
      <w:r>
        <w:rPr>
          <w:rFonts w:hint="eastAsia"/>
        </w:rPr>
        <w:t>标准砝码有检定证书，且在校准过程中仅使用砝码标称值，查JJG 99 表1得F</w:t>
      </w:r>
      <w:r>
        <w:rPr>
          <w:rFonts w:hint="eastAsia"/>
          <w:vertAlign w:val="subscript"/>
        </w:rPr>
        <w:t>2</w:t>
      </w:r>
      <w:r>
        <w:rPr>
          <w:rFonts w:hint="eastAsia"/>
        </w:rPr>
        <w:t>等级25kg的最大允许误差为</w:t>
      </w:r>
      <w:r>
        <w:t>±</w:t>
      </w:r>
      <w:r>
        <w:rPr>
          <w:rFonts w:hint="eastAsia"/>
        </w:rPr>
        <w:t>0.000380kg，则3只25kg砝码的标准不确定度为各个标准砝码的标准不确定度的算术和，如下：</w:t>
      </w:r>
    </w:p>
    <w:p w14:paraId="65FFC30F">
      <w:pPr>
        <w:ind w:left="0" w:firstLine="480" w:firstLineChars="200"/>
      </w:pPr>
      <w:r>
        <w:rPr>
          <w:rFonts w:hint="eastAsia"/>
          <w:position w:val="-14"/>
        </w:rPr>
        <w:object>
          <v:shape id="_x0000_i1081" o:spt="75" type="#_x0000_t75" style="height:22pt;width:147pt;" o:ole="t" filled="f" o:preferrelative="t" stroked="f" coordsize="21600,21600">
            <v:path/>
            <v:fill on="f" focussize="0,0"/>
            <v:stroke on="f" joinstyle="miter"/>
            <v:imagedata r:id="rId124" o:title=""/>
            <o:lock v:ext="edit" aspectratio="t"/>
            <w10:wrap type="none"/>
            <w10:anchorlock/>
          </v:shape>
          <o:OLEObject Type="Embed" ProgID="Equation.DSMT4" ShapeID="_x0000_i1081" DrawAspect="Content" ObjectID="_1468075781" r:id="rId123">
            <o:LockedField>false</o:LockedField>
          </o:OLEObject>
        </w:object>
      </w:r>
      <w:r>
        <w:rPr>
          <w:rFonts w:hint="eastAsia"/>
        </w:rPr>
        <w:t xml:space="preserve">                                         </w:t>
      </w:r>
      <w:r>
        <w:rPr>
          <w:rFonts w:hint="eastAsia"/>
          <w:spacing w:val="20"/>
        </w:rPr>
        <w:t>（B</w:t>
      </w:r>
      <w:r>
        <w:rPr>
          <w:spacing w:val="20"/>
        </w:rPr>
        <w:t>.</w:t>
      </w:r>
      <w:r>
        <w:rPr>
          <w:rFonts w:hint="eastAsia"/>
          <w:spacing w:val="20"/>
        </w:rPr>
        <w:t>8）</w:t>
      </w:r>
    </w:p>
    <w:p w14:paraId="1FEAFF34">
      <w:pPr>
        <w:spacing w:before="156" w:after="156"/>
        <w:ind w:left="480" w:leftChars="200" w:firstLine="480" w:firstLineChars="200"/>
      </w:pPr>
      <w:r>
        <w:rPr>
          <w:rFonts w:hint="eastAsia"/>
          <w:position w:val="-10"/>
        </w:rPr>
        <w:object>
          <v:shape id="_x0000_i1082" o:spt="75" type="#_x0000_t75" style="height:20pt;width:160.5pt;" o:ole="t" filled="f" o:preferrelative="t" stroked="f" coordsize="21600,21600">
            <v:path/>
            <v:fill on="f" focussize="0,0"/>
            <v:stroke on="f" joinstyle="miter"/>
            <v:imagedata r:id="rId126" o:title=""/>
            <o:lock v:ext="edit" aspectratio="t"/>
            <w10:wrap type="none"/>
            <w10:anchorlock/>
          </v:shape>
          <o:OLEObject Type="Embed" ProgID="Equation.DSMT4" ShapeID="_x0000_i1082" DrawAspect="Content" ObjectID="_1468075782" r:id="rId125">
            <o:LockedField>false</o:LockedField>
          </o:OLEObject>
        </w:object>
      </w:r>
    </w:p>
    <w:p w14:paraId="154D1ED2">
      <w:pPr>
        <w:spacing w:before="156" w:after="156"/>
        <w:ind w:left="480" w:hanging="480"/>
        <w:rPr>
          <w:lang w:val="en-GB"/>
        </w:rPr>
      </w:pPr>
      <w:r>
        <w:rPr>
          <w:rFonts w:hint="eastAsia"/>
          <w:spacing w:val="20"/>
        </w:rPr>
        <w:t>B</w:t>
      </w:r>
      <w:r>
        <w:rPr>
          <w:spacing w:val="20"/>
        </w:rPr>
        <w:t>.</w:t>
      </w:r>
      <w:r>
        <w:rPr>
          <w:rFonts w:hint="eastAsia"/>
          <w:lang w:val="en-GB"/>
        </w:rPr>
        <w:t xml:space="preserve">5 合成标准不确定度的评定 </w:t>
      </w:r>
    </w:p>
    <w:p w14:paraId="4AA42938">
      <w:pPr>
        <w:ind w:left="0"/>
        <w:rPr>
          <w:bCs/>
        </w:rPr>
      </w:pPr>
      <w:r>
        <w:rPr>
          <w:rFonts w:hint="eastAsia"/>
          <w:spacing w:val="20"/>
        </w:rPr>
        <w:t>B</w:t>
      </w:r>
      <w:r>
        <w:rPr>
          <w:spacing w:val="20"/>
        </w:rPr>
        <w:t>.</w:t>
      </w:r>
      <w:r>
        <w:rPr>
          <w:rFonts w:hint="eastAsia"/>
        </w:rPr>
        <w:t>5.1 示值误差的合成标准不确定度</w:t>
      </w:r>
      <w:r>
        <w:rPr>
          <w:position w:val="-12"/>
        </w:rPr>
        <w:object>
          <v:shape id="_x0000_i1083" o:spt="75" type="#_x0000_t75" style="height:18pt;width:30.5pt;" o:ole="t" filled="f" o:preferrelative="t" stroked="f" coordsize="21600,21600">
            <v:path/>
            <v:fill on="f" focussize="0,0"/>
            <v:stroke on="f" joinstyle="miter"/>
            <v:imagedata r:id="rId79" o:title=""/>
            <o:lock v:ext="edit" aspectratio="t"/>
            <w10:wrap type="none"/>
            <w10:anchorlock/>
          </v:shape>
          <o:OLEObject Type="Embed" ProgID="Equation.DSMT4" ShapeID="_x0000_i1083" DrawAspect="Content" ObjectID="_1468075783" r:id="rId127">
            <o:LockedField>false</o:LockedField>
          </o:OLEObject>
        </w:object>
      </w:r>
    </w:p>
    <w:p w14:paraId="16CE1566">
      <w:pPr>
        <w:ind w:left="0" w:firstLine="480" w:firstLineChars="200"/>
        <w:rPr>
          <w:bCs/>
        </w:rPr>
      </w:pPr>
      <w:r>
        <w:rPr>
          <w:position w:val="-12"/>
        </w:rPr>
        <w:object>
          <v:shape id="_x0000_i1084" o:spt="75" type="#_x0000_t75" style="height:22pt;width:114.5pt;" o:ole="t" filled="f" o:preferrelative="t" stroked="f" coordsize="21600,21600">
            <v:path/>
            <v:fill on="f" focussize="0,0"/>
            <v:stroke on="f" joinstyle="miter"/>
            <v:imagedata r:id="rId129" o:title=""/>
            <o:lock v:ext="edit" aspectratio="t"/>
            <w10:wrap type="none"/>
            <w10:anchorlock/>
          </v:shape>
          <o:OLEObject Type="Embed" ProgID="Equation.DSMT4" ShapeID="_x0000_i1084" DrawAspect="Content" ObjectID="_1468075784" r:id="rId128">
            <o:LockedField>false</o:LockedField>
          </o:OLEObject>
        </w:object>
      </w:r>
      <w:r>
        <w:rPr>
          <w:rFonts w:hint="eastAsia"/>
          <w:position w:val="-16"/>
        </w:rPr>
        <w:t xml:space="preserve">                                              </w:t>
      </w:r>
    </w:p>
    <w:p w14:paraId="7B17AB8A">
      <w:pPr>
        <w:ind w:left="0" w:firstLine="960" w:firstLineChars="400"/>
        <w:rPr>
          <w:bCs/>
        </w:rPr>
      </w:pPr>
      <w:r>
        <w:rPr>
          <w:position w:val="-12"/>
        </w:rPr>
        <w:object>
          <v:shape id="_x0000_i1085" o:spt="75" type="#_x0000_t75" style="height:22pt;width:121pt;" o:ole="t" filled="f" o:preferrelative="t" stroked="f" coordsize="21600,21600">
            <v:path/>
            <v:fill on="f" focussize="0,0"/>
            <v:stroke on="f" joinstyle="miter"/>
            <v:imagedata r:id="rId131" o:title=""/>
            <o:lock v:ext="edit" aspectratio="t"/>
            <w10:wrap type="none"/>
            <w10:anchorlock/>
          </v:shape>
          <o:OLEObject Type="Embed" ProgID="Equation.DSMT4" ShapeID="_x0000_i1085" DrawAspect="Content" ObjectID="_1468075785" r:id="rId130">
            <o:LockedField>false</o:LockedField>
          </o:OLEObject>
        </w:object>
      </w:r>
    </w:p>
    <w:p w14:paraId="561CC3E5">
      <w:pPr>
        <w:ind w:left="0" w:firstLine="960" w:firstLineChars="400"/>
        <w:rPr>
          <w:bCs/>
        </w:rPr>
      </w:pPr>
      <w:r>
        <w:rPr>
          <w:position w:val="-10"/>
        </w:rPr>
        <w:object>
          <v:shape id="_x0000_i1086" o:spt="75" type="#_x0000_t75" style="height:15.5pt;width:52pt;" o:ole="t" filled="f" o:preferrelative="t" stroked="f" coordsize="21600,21600">
            <v:path/>
            <v:fill on="f" focussize="0,0"/>
            <v:stroke on="f" joinstyle="miter"/>
            <v:imagedata r:id="rId133" o:title=""/>
            <o:lock v:ext="edit" aspectratio="t"/>
            <w10:wrap type="none"/>
            <w10:anchorlock/>
          </v:shape>
          <o:OLEObject Type="Embed" ProgID="Equation.DSMT4" ShapeID="_x0000_i1086" DrawAspect="Content" ObjectID="_1468075786" r:id="rId132">
            <o:LockedField>false</o:LockedField>
          </o:OLEObject>
        </w:object>
      </w:r>
    </w:p>
    <w:p w14:paraId="2893FE49">
      <w:pPr>
        <w:ind w:left="0"/>
        <w:rPr>
          <w:bCs/>
        </w:rPr>
      </w:pPr>
      <w:r>
        <w:rPr>
          <w:rFonts w:hint="eastAsia"/>
          <w:spacing w:val="20"/>
        </w:rPr>
        <w:t>B</w:t>
      </w:r>
      <w:r>
        <w:rPr>
          <w:spacing w:val="20"/>
        </w:rPr>
        <w:t>.</w:t>
      </w:r>
      <w:r>
        <w:rPr>
          <w:rFonts w:hint="eastAsia"/>
        </w:rPr>
        <w:t>5.2 扩展不确定度</w:t>
      </w:r>
    </w:p>
    <w:p w14:paraId="508F050B">
      <w:pPr>
        <w:ind w:left="0"/>
        <w:rPr>
          <w:bCs/>
        </w:rPr>
      </w:pPr>
      <w:r>
        <w:rPr>
          <w:rFonts w:hint="eastAsia"/>
        </w:rPr>
        <w:t xml:space="preserve">    取</w:t>
      </w:r>
      <w:r>
        <w:t>包含因子</w:t>
      </w:r>
      <w:r>
        <w:rPr>
          <w:rFonts w:hint="eastAsia"/>
          <w:i/>
        </w:rPr>
        <w:t>k</w:t>
      </w:r>
      <w:r>
        <w:rPr>
          <w:rFonts w:hint="eastAsia"/>
        </w:rPr>
        <w:t>=2, 扩展不确定度为</w:t>
      </w:r>
      <w:r>
        <w:rPr>
          <w:rFonts w:hint="eastAsia" w:ascii="宋体" w:hAnsi="宋体" w:cs="宋体"/>
        </w:rPr>
        <w:t>：</w:t>
      </w:r>
    </w:p>
    <w:p w14:paraId="19C15EA0">
      <w:pPr>
        <w:ind w:left="0" w:firstLine="480"/>
        <w:rPr>
          <w:bCs/>
        </w:rPr>
      </w:pPr>
      <w:r>
        <w:rPr>
          <w:rFonts w:hint="eastAsia"/>
        </w:rPr>
        <w:t xml:space="preserve"> </w:t>
      </w:r>
      <w:r>
        <w:rPr>
          <w:position w:val="-12"/>
        </w:rPr>
        <w:object>
          <v:shape id="_x0000_i1087" o:spt="75" type="#_x0000_t75" style="height:18pt;width:70.5pt;" o:ole="t" filled="f" o:preferrelative="t" stroked="f" coordsize="21600,21600">
            <v:path/>
            <v:fill on="f" focussize="0,0"/>
            <v:stroke on="f" joinstyle="miter"/>
            <v:imagedata r:id="rId87" o:title=""/>
            <o:lock v:ext="edit" aspectratio="t"/>
            <w10:wrap type="none"/>
            <w10:anchorlock/>
          </v:shape>
          <o:OLEObject Type="Embed" ProgID="Equation.DSMT4" ShapeID="_x0000_i1087" DrawAspect="Content" ObjectID="_1468075787" r:id="rId134">
            <o:LockedField>false</o:LockedField>
          </o:OLEObject>
        </w:object>
      </w:r>
      <w:r>
        <w:rPr>
          <w:rFonts w:hint="eastAsia"/>
        </w:rPr>
        <w:t>=0.27kg</w:t>
      </w:r>
    </w:p>
    <w:p w14:paraId="2A57DB9F">
      <w:pPr>
        <w:spacing w:before="120" w:after="120"/>
        <w:ind w:left="480" w:hanging="480"/>
      </w:pPr>
      <w:r>
        <w:rPr>
          <w:rFonts w:hint="eastAsia"/>
          <w:lang w:val="en-GB"/>
        </w:rPr>
        <w:t>B.6 计算得出该称重物料罐的测量不确定度</w:t>
      </w:r>
      <w:r>
        <w:rPr>
          <w:rFonts w:hint="eastAsia"/>
        </w:rPr>
        <w:t>见表B.1。</w:t>
      </w:r>
    </w:p>
    <w:p w14:paraId="07911EC8">
      <w:pPr>
        <w:spacing w:before="120" w:after="120"/>
        <w:ind w:left="480" w:hanging="480"/>
        <w:jc w:val="center"/>
      </w:pPr>
      <w:r>
        <w:rPr>
          <w:rFonts w:hint="eastAsia"/>
          <w:bCs/>
        </w:rPr>
        <w:t xml:space="preserve">表B.1 </w:t>
      </w:r>
      <w:r>
        <w:rPr>
          <w:rFonts w:hint="eastAsia"/>
          <w:lang w:val="en-GB"/>
        </w:rPr>
        <w:t>称重物料罐的测量</w:t>
      </w:r>
      <w:r>
        <w:rPr>
          <w:rFonts w:hint="eastAsia"/>
          <w:bCs/>
        </w:rPr>
        <w:t>不确定度表</w:t>
      </w:r>
    </w:p>
    <w:tbl>
      <w:tblPr>
        <w:tblStyle w:val="21"/>
        <w:tblW w:w="4890" w:type="pct"/>
        <w:jc w:val="center"/>
        <w:tblLayout w:type="autofit"/>
        <w:tblCellMar>
          <w:top w:w="0" w:type="dxa"/>
          <w:left w:w="108" w:type="dxa"/>
          <w:bottom w:w="0" w:type="dxa"/>
          <w:right w:w="108" w:type="dxa"/>
        </w:tblCellMar>
      </w:tblPr>
      <w:tblGrid>
        <w:gridCol w:w="1226"/>
        <w:gridCol w:w="1843"/>
        <w:gridCol w:w="2186"/>
        <w:gridCol w:w="1898"/>
        <w:gridCol w:w="2273"/>
      </w:tblGrid>
      <w:tr w14:paraId="440135AE">
        <w:tblPrEx>
          <w:tblCellMar>
            <w:top w:w="0" w:type="dxa"/>
            <w:left w:w="108" w:type="dxa"/>
            <w:bottom w:w="0" w:type="dxa"/>
            <w:right w:w="108" w:type="dxa"/>
          </w:tblCellMar>
        </w:tblPrEx>
        <w:trPr>
          <w:trHeight w:val="290" w:hRule="atLeast"/>
          <w:jc w:val="center"/>
        </w:trPr>
        <w:tc>
          <w:tcPr>
            <w:tcW w:w="650" w:type="pct"/>
            <w:vMerge w:val="restart"/>
            <w:tcBorders>
              <w:top w:val="single" w:color="auto" w:sz="4" w:space="0"/>
              <w:left w:val="single" w:color="auto" w:sz="4" w:space="0"/>
              <w:right w:val="single" w:color="auto" w:sz="4" w:space="0"/>
            </w:tcBorders>
            <w:vAlign w:val="center"/>
          </w:tcPr>
          <w:p w14:paraId="6556A516">
            <w:pPr>
              <w:ind w:left="0"/>
              <w:jc w:val="center"/>
              <w:rPr>
                <w:rFonts w:cs="宋体"/>
                <w:color w:val="000000"/>
                <w:kern w:val="0"/>
                <w:sz w:val="21"/>
                <w:szCs w:val="21"/>
              </w:rPr>
            </w:pPr>
            <w:r>
              <w:rPr>
                <w:rFonts w:hint="eastAsia" w:cs="宋体"/>
                <w:color w:val="000000"/>
                <w:kern w:val="0"/>
                <w:sz w:val="21"/>
                <w:szCs w:val="21"/>
              </w:rPr>
              <w:t>测量点</w:t>
            </w:r>
          </w:p>
        </w:tc>
        <w:tc>
          <w:tcPr>
            <w:tcW w:w="977" w:type="pct"/>
            <w:tcBorders>
              <w:top w:val="single" w:color="auto" w:sz="4" w:space="0"/>
              <w:left w:val="nil"/>
              <w:bottom w:val="nil"/>
              <w:right w:val="single" w:color="auto" w:sz="4" w:space="0"/>
            </w:tcBorders>
            <w:vAlign w:val="center"/>
          </w:tcPr>
          <w:p w14:paraId="4808334E">
            <w:pPr>
              <w:ind w:left="0"/>
              <w:jc w:val="center"/>
              <w:rPr>
                <w:rFonts w:cs="宋体"/>
                <w:color w:val="000000"/>
                <w:kern w:val="0"/>
                <w:sz w:val="21"/>
                <w:szCs w:val="21"/>
              </w:rPr>
            </w:pPr>
            <w:r>
              <w:rPr>
                <w:rFonts w:hint="eastAsia"/>
                <w:sz w:val="21"/>
                <w:szCs w:val="21"/>
              </w:rPr>
              <w:t>载荷</w:t>
            </w:r>
            <w:r>
              <w:rPr>
                <w:i/>
                <w:sz w:val="21"/>
                <w:szCs w:val="21"/>
              </w:rPr>
              <w:t>L</w:t>
            </w:r>
          </w:p>
        </w:tc>
        <w:tc>
          <w:tcPr>
            <w:tcW w:w="1159" w:type="pct"/>
            <w:tcBorders>
              <w:top w:val="single" w:color="auto" w:sz="4" w:space="0"/>
              <w:left w:val="nil"/>
              <w:bottom w:val="nil"/>
              <w:right w:val="single" w:color="auto" w:sz="4" w:space="0"/>
            </w:tcBorders>
            <w:vAlign w:val="center"/>
          </w:tcPr>
          <w:p w14:paraId="7DA509E7">
            <w:pPr>
              <w:ind w:left="0"/>
              <w:jc w:val="center"/>
              <w:rPr>
                <w:rFonts w:cs="宋体"/>
                <w:color w:val="000000"/>
                <w:kern w:val="0"/>
                <w:sz w:val="21"/>
                <w:szCs w:val="21"/>
              </w:rPr>
            </w:pPr>
            <w:r>
              <w:rPr>
                <w:rFonts w:hint="eastAsia"/>
                <w:sz w:val="21"/>
                <w:szCs w:val="21"/>
              </w:rPr>
              <w:t>示值</w:t>
            </w:r>
            <w:r>
              <w:rPr>
                <w:i/>
                <w:sz w:val="21"/>
                <w:szCs w:val="21"/>
              </w:rPr>
              <w:t>I</w:t>
            </w:r>
          </w:p>
        </w:tc>
        <w:tc>
          <w:tcPr>
            <w:tcW w:w="1006" w:type="pct"/>
            <w:tcBorders>
              <w:top w:val="single" w:color="auto" w:sz="4" w:space="0"/>
              <w:left w:val="nil"/>
              <w:bottom w:val="nil"/>
              <w:right w:val="single" w:color="auto" w:sz="4" w:space="0"/>
            </w:tcBorders>
            <w:vAlign w:val="center"/>
          </w:tcPr>
          <w:p w14:paraId="3F79E991">
            <w:pPr>
              <w:ind w:left="0"/>
              <w:jc w:val="center"/>
              <w:rPr>
                <w:rFonts w:cs="宋体"/>
                <w:color w:val="000000"/>
                <w:kern w:val="0"/>
                <w:sz w:val="21"/>
                <w:szCs w:val="21"/>
              </w:rPr>
            </w:pPr>
            <w:r>
              <w:rPr>
                <w:rFonts w:hint="eastAsia" w:cs="宋体"/>
                <w:color w:val="000000"/>
                <w:kern w:val="0"/>
                <w:sz w:val="21"/>
                <w:szCs w:val="21"/>
              </w:rPr>
              <w:t>示值误差</w:t>
            </w:r>
            <w:r>
              <w:rPr>
                <w:rFonts w:hint="eastAsia" w:cs="宋体"/>
                <w:i/>
                <w:color w:val="000000"/>
                <w:kern w:val="0"/>
                <w:sz w:val="21"/>
                <w:szCs w:val="21"/>
              </w:rPr>
              <w:t>E</w:t>
            </w:r>
          </w:p>
        </w:tc>
        <w:tc>
          <w:tcPr>
            <w:tcW w:w="1205" w:type="pct"/>
            <w:tcBorders>
              <w:top w:val="single" w:color="auto" w:sz="4" w:space="0"/>
              <w:left w:val="nil"/>
              <w:bottom w:val="nil"/>
              <w:right w:val="single" w:color="auto" w:sz="4" w:space="0"/>
            </w:tcBorders>
            <w:vAlign w:val="center"/>
          </w:tcPr>
          <w:p w14:paraId="430222E3">
            <w:pPr>
              <w:ind w:left="0"/>
              <w:jc w:val="center"/>
              <w:rPr>
                <w:rFonts w:cs="宋体"/>
                <w:color w:val="000000"/>
                <w:kern w:val="0"/>
                <w:sz w:val="21"/>
                <w:szCs w:val="21"/>
              </w:rPr>
            </w:pPr>
            <w:r>
              <w:rPr>
                <w:rFonts w:hint="eastAsia"/>
                <w:sz w:val="21"/>
                <w:szCs w:val="21"/>
              </w:rPr>
              <w:t>扩展不确定度</w:t>
            </w:r>
            <w:r>
              <w:rPr>
                <w:i/>
                <w:sz w:val="21"/>
                <w:szCs w:val="21"/>
              </w:rPr>
              <w:t>U</w:t>
            </w:r>
            <w:r>
              <w:rPr>
                <w:sz w:val="21"/>
                <w:szCs w:val="21"/>
              </w:rPr>
              <w:t>（</w:t>
            </w:r>
            <w:r>
              <w:rPr>
                <w:i/>
                <w:sz w:val="21"/>
                <w:szCs w:val="21"/>
              </w:rPr>
              <w:t>k</w:t>
            </w:r>
            <w:r>
              <w:rPr>
                <w:sz w:val="21"/>
                <w:szCs w:val="21"/>
              </w:rPr>
              <w:t>=2）</w:t>
            </w:r>
          </w:p>
        </w:tc>
      </w:tr>
      <w:tr w14:paraId="68F942DC">
        <w:tblPrEx>
          <w:tblCellMar>
            <w:top w:w="0" w:type="dxa"/>
            <w:left w:w="108" w:type="dxa"/>
            <w:bottom w:w="0" w:type="dxa"/>
            <w:right w:w="108" w:type="dxa"/>
          </w:tblCellMar>
        </w:tblPrEx>
        <w:trPr>
          <w:trHeight w:val="290" w:hRule="atLeast"/>
          <w:jc w:val="center"/>
        </w:trPr>
        <w:tc>
          <w:tcPr>
            <w:tcW w:w="650" w:type="pct"/>
            <w:vMerge w:val="continue"/>
            <w:tcBorders>
              <w:left w:val="single" w:color="auto" w:sz="4" w:space="0"/>
              <w:bottom w:val="single" w:color="auto" w:sz="4" w:space="0"/>
              <w:right w:val="single" w:color="auto" w:sz="4" w:space="0"/>
            </w:tcBorders>
            <w:vAlign w:val="center"/>
          </w:tcPr>
          <w:p w14:paraId="7D753E88">
            <w:pPr>
              <w:ind w:left="0"/>
              <w:jc w:val="center"/>
              <w:rPr>
                <w:rFonts w:cs="宋体"/>
                <w:color w:val="000000"/>
                <w:kern w:val="0"/>
                <w:sz w:val="21"/>
                <w:szCs w:val="21"/>
              </w:rPr>
            </w:pPr>
          </w:p>
        </w:tc>
        <w:tc>
          <w:tcPr>
            <w:tcW w:w="977" w:type="pct"/>
            <w:tcBorders>
              <w:top w:val="nil"/>
              <w:left w:val="nil"/>
              <w:bottom w:val="single" w:color="auto" w:sz="4" w:space="0"/>
              <w:right w:val="single" w:color="auto" w:sz="4" w:space="0"/>
            </w:tcBorders>
            <w:vAlign w:val="center"/>
          </w:tcPr>
          <w:p w14:paraId="15ECDDF2">
            <w:pPr>
              <w:ind w:left="0"/>
              <w:jc w:val="center"/>
              <w:rPr>
                <w:rFonts w:cs="宋体"/>
                <w:color w:val="000000"/>
                <w:kern w:val="0"/>
                <w:sz w:val="21"/>
                <w:szCs w:val="21"/>
              </w:rPr>
            </w:pPr>
            <w:r>
              <w:rPr>
                <w:rFonts w:hint="eastAsia" w:cs="宋体"/>
                <w:color w:val="000000"/>
                <w:kern w:val="0"/>
                <w:sz w:val="21"/>
                <w:szCs w:val="21"/>
              </w:rPr>
              <w:t>（  kg  ）</w:t>
            </w:r>
          </w:p>
        </w:tc>
        <w:tc>
          <w:tcPr>
            <w:tcW w:w="1159" w:type="pct"/>
            <w:tcBorders>
              <w:top w:val="nil"/>
              <w:left w:val="nil"/>
              <w:bottom w:val="single" w:color="auto" w:sz="4" w:space="0"/>
              <w:right w:val="single" w:color="auto" w:sz="4" w:space="0"/>
            </w:tcBorders>
            <w:vAlign w:val="center"/>
          </w:tcPr>
          <w:p w14:paraId="3B0B4E2D">
            <w:pPr>
              <w:ind w:left="0"/>
              <w:jc w:val="center"/>
              <w:rPr>
                <w:rFonts w:cs="宋体"/>
                <w:color w:val="000000"/>
                <w:kern w:val="0"/>
                <w:sz w:val="21"/>
                <w:szCs w:val="21"/>
              </w:rPr>
            </w:pPr>
            <w:r>
              <w:rPr>
                <w:rFonts w:hint="eastAsia" w:cs="宋体"/>
                <w:color w:val="000000"/>
                <w:kern w:val="0"/>
                <w:sz w:val="21"/>
                <w:szCs w:val="21"/>
              </w:rPr>
              <w:t>（  kg  ）</w:t>
            </w:r>
          </w:p>
        </w:tc>
        <w:tc>
          <w:tcPr>
            <w:tcW w:w="1006" w:type="pct"/>
            <w:tcBorders>
              <w:top w:val="nil"/>
              <w:left w:val="nil"/>
              <w:bottom w:val="single" w:color="auto" w:sz="4" w:space="0"/>
              <w:right w:val="single" w:color="auto" w:sz="4" w:space="0"/>
            </w:tcBorders>
            <w:vAlign w:val="center"/>
          </w:tcPr>
          <w:p w14:paraId="3BC2F634">
            <w:pPr>
              <w:ind w:left="0"/>
              <w:jc w:val="center"/>
              <w:rPr>
                <w:rFonts w:cs="宋体"/>
                <w:color w:val="000000"/>
                <w:kern w:val="0"/>
                <w:sz w:val="21"/>
                <w:szCs w:val="21"/>
              </w:rPr>
            </w:pPr>
            <w:r>
              <w:rPr>
                <w:rFonts w:hint="eastAsia" w:cs="宋体"/>
                <w:color w:val="000000"/>
                <w:kern w:val="0"/>
                <w:sz w:val="21"/>
                <w:szCs w:val="21"/>
              </w:rPr>
              <w:t>（  kg  ）</w:t>
            </w:r>
          </w:p>
        </w:tc>
        <w:tc>
          <w:tcPr>
            <w:tcW w:w="1205" w:type="pct"/>
            <w:tcBorders>
              <w:top w:val="nil"/>
              <w:left w:val="nil"/>
              <w:bottom w:val="single" w:color="auto" w:sz="4" w:space="0"/>
              <w:right w:val="single" w:color="auto" w:sz="4" w:space="0"/>
            </w:tcBorders>
            <w:vAlign w:val="center"/>
          </w:tcPr>
          <w:p w14:paraId="416C0B46">
            <w:pPr>
              <w:ind w:left="0"/>
              <w:jc w:val="center"/>
              <w:rPr>
                <w:rFonts w:cs="宋体"/>
                <w:color w:val="000000"/>
                <w:kern w:val="0"/>
                <w:sz w:val="21"/>
                <w:szCs w:val="21"/>
              </w:rPr>
            </w:pPr>
            <w:r>
              <w:rPr>
                <w:rFonts w:hint="eastAsia" w:cs="宋体"/>
                <w:color w:val="000000"/>
                <w:kern w:val="0"/>
                <w:sz w:val="21"/>
                <w:szCs w:val="21"/>
              </w:rPr>
              <w:t>（  kg  ）</w:t>
            </w:r>
          </w:p>
        </w:tc>
      </w:tr>
      <w:tr w14:paraId="386586DF">
        <w:tblPrEx>
          <w:tblCellMar>
            <w:top w:w="0" w:type="dxa"/>
            <w:left w:w="108" w:type="dxa"/>
            <w:bottom w:w="0" w:type="dxa"/>
            <w:right w:w="108" w:type="dxa"/>
          </w:tblCellMar>
        </w:tblPrEx>
        <w:trPr>
          <w:trHeight w:val="340" w:hRule="atLeast"/>
          <w:jc w:val="center"/>
        </w:trPr>
        <w:tc>
          <w:tcPr>
            <w:tcW w:w="650" w:type="pct"/>
            <w:tcBorders>
              <w:top w:val="nil"/>
              <w:left w:val="single" w:color="auto" w:sz="4" w:space="0"/>
              <w:bottom w:val="single" w:color="auto" w:sz="4" w:space="0"/>
              <w:right w:val="single" w:color="auto" w:sz="4" w:space="0"/>
            </w:tcBorders>
            <w:vAlign w:val="center"/>
          </w:tcPr>
          <w:p w14:paraId="3D86E83C">
            <w:pPr>
              <w:ind w:left="0"/>
              <w:jc w:val="center"/>
              <w:rPr>
                <w:rFonts w:cs="宋体"/>
                <w:color w:val="000000"/>
                <w:kern w:val="0"/>
                <w:sz w:val="21"/>
                <w:szCs w:val="21"/>
              </w:rPr>
            </w:pPr>
            <w:r>
              <w:rPr>
                <w:rFonts w:hint="eastAsia" w:cs="宋体"/>
                <w:color w:val="000000"/>
                <w:kern w:val="0"/>
                <w:sz w:val="21"/>
                <w:szCs w:val="21"/>
              </w:rPr>
              <w:t>1</w:t>
            </w:r>
          </w:p>
        </w:tc>
        <w:tc>
          <w:tcPr>
            <w:tcW w:w="977" w:type="pct"/>
            <w:tcBorders>
              <w:top w:val="single" w:color="auto" w:sz="4" w:space="0"/>
              <w:left w:val="nil"/>
              <w:bottom w:val="single" w:color="auto" w:sz="4" w:space="0"/>
              <w:right w:val="single" w:color="auto" w:sz="4" w:space="0"/>
            </w:tcBorders>
            <w:vAlign w:val="center"/>
          </w:tcPr>
          <w:p w14:paraId="7B88185D">
            <w:pPr>
              <w:ind w:left="0"/>
              <w:jc w:val="center"/>
              <w:textAlignment w:val="center"/>
              <w:rPr>
                <w:color w:val="000000"/>
                <w:sz w:val="22"/>
                <w:szCs w:val="22"/>
              </w:rPr>
            </w:pPr>
            <w:r>
              <w:rPr>
                <w:color w:val="000000"/>
                <w:kern w:val="0"/>
                <w:sz w:val="22"/>
                <w:szCs w:val="22"/>
                <w:lang w:bidi="ar"/>
              </w:rPr>
              <w:t>0</w:t>
            </w:r>
          </w:p>
        </w:tc>
        <w:tc>
          <w:tcPr>
            <w:tcW w:w="1159" w:type="pct"/>
            <w:tcBorders>
              <w:top w:val="single" w:color="auto" w:sz="4" w:space="0"/>
              <w:left w:val="nil"/>
              <w:bottom w:val="single" w:color="auto" w:sz="4" w:space="0"/>
              <w:right w:val="single" w:color="auto" w:sz="4" w:space="0"/>
            </w:tcBorders>
            <w:vAlign w:val="center"/>
          </w:tcPr>
          <w:p w14:paraId="2F1BAE6F">
            <w:pPr>
              <w:ind w:left="0"/>
              <w:jc w:val="center"/>
              <w:textAlignment w:val="center"/>
              <w:rPr>
                <w:color w:val="000000"/>
                <w:sz w:val="22"/>
                <w:szCs w:val="22"/>
              </w:rPr>
            </w:pPr>
            <w:r>
              <w:rPr>
                <w:color w:val="000000"/>
                <w:kern w:val="0"/>
                <w:sz w:val="22"/>
                <w:szCs w:val="22"/>
                <w:lang w:bidi="ar"/>
              </w:rPr>
              <w:t>0.00</w:t>
            </w:r>
          </w:p>
        </w:tc>
        <w:tc>
          <w:tcPr>
            <w:tcW w:w="1006" w:type="pct"/>
            <w:tcBorders>
              <w:top w:val="single" w:color="auto" w:sz="4" w:space="0"/>
              <w:left w:val="nil"/>
              <w:bottom w:val="single" w:color="auto" w:sz="4" w:space="0"/>
              <w:right w:val="single" w:color="auto" w:sz="4" w:space="0"/>
            </w:tcBorders>
            <w:vAlign w:val="center"/>
          </w:tcPr>
          <w:p w14:paraId="53FF9B89">
            <w:pPr>
              <w:ind w:left="0"/>
              <w:jc w:val="center"/>
              <w:textAlignment w:val="center"/>
              <w:rPr>
                <w:color w:val="000000"/>
                <w:sz w:val="22"/>
                <w:szCs w:val="22"/>
              </w:rPr>
            </w:pPr>
            <w:r>
              <w:rPr>
                <w:color w:val="000000"/>
                <w:kern w:val="0"/>
                <w:sz w:val="22"/>
                <w:szCs w:val="22"/>
                <w:lang w:bidi="ar"/>
              </w:rPr>
              <w:t>0.00</w:t>
            </w:r>
          </w:p>
        </w:tc>
        <w:tc>
          <w:tcPr>
            <w:tcW w:w="1205" w:type="pct"/>
            <w:tcBorders>
              <w:top w:val="single" w:color="auto" w:sz="4" w:space="0"/>
              <w:left w:val="nil"/>
              <w:bottom w:val="single" w:color="auto" w:sz="4" w:space="0"/>
              <w:right w:val="single" w:color="auto" w:sz="4" w:space="0"/>
            </w:tcBorders>
            <w:vAlign w:val="center"/>
          </w:tcPr>
          <w:p w14:paraId="0FFEADFD">
            <w:pPr>
              <w:ind w:left="0"/>
              <w:jc w:val="center"/>
              <w:textAlignment w:val="center"/>
              <w:rPr>
                <w:color w:val="000000"/>
                <w:sz w:val="22"/>
                <w:szCs w:val="22"/>
              </w:rPr>
            </w:pPr>
            <w:r>
              <w:rPr>
                <w:color w:val="000000"/>
                <w:kern w:val="0"/>
                <w:sz w:val="22"/>
                <w:szCs w:val="22"/>
                <w:lang w:bidi="ar"/>
              </w:rPr>
              <w:t>0.12</w:t>
            </w:r>
          </w:p>
        </w:tc>
      </w:tr>
      <w:tr w14:paraId="49302A0B">
        <w:tblPrEx>
          <w:tblCellMar>
            <w:top w:w="0" w:type="dxa"/>
            <w:left w:w="108" w:type="dxa"/>
            <w:bottom w:w="0" w:type="dxa"/>
            <w:right w:w="108" w:type="dxa"/>
          </w:tblCellMar>
        </w:tblPrEx>
        <w:trPr>
          <w:trHeight w:val="290" w:hRule="atLeast"/>
          <w:jc w:val="center"/>
        </w:trPr>
        <w:tc>
          <w:tcPr>
            <w:tcW w:w="650" w:type="pct"/>
            <w:tcBorders>
              <w:top w:val="nil"/>
              <w:left w:val="single" w:color="auto" w:sz="4" w:space="0"/>
              <w:bottom w:val="single" w:color="auto" w:sz="4" w:space="0"/>
              <w:right w:val="single" w:color="auto" w:sz="4" w:space="0"/>
            </w:tcBorders>
            <w:vAlign w:val="center"/>
          </w:tcPr>
          <w:p w14:paraId="29F3E930">
            <w:pPr>
              <w:ind w:left="0"/>
              <w:jc w:val="center"/>
              <w:rPr>
                <w:rFonts w:cs="宋体"/>
                <w:color w:val="000000"/>
                <w:kern w:val="0"/>
                <w:sz w:val="21"/>
                <w:szCs w:val="21"/>
              </w:rPr>
            </w:pPr>
            <w:r>
              <w:rPr>
                <w:rFonts w:hint="eastAsia" w:cs="宋体"/>
                <w:color w:val="000000"/>
                <w:kern w:val="0"/>
                <w:sz w:val="21"/>
                <w:szCs w:val="21"/>
              </w:rPr>
              <w:t>2</w:t>
            </w:r>
          </w:p>
        </w:tc>
        <w:tc>
          <w:tcPr>
            <w:tcW w:w="977" w:type="pct"/>
            <w:tcBorders>
              <w:top w:val="single" w:color="auto" w:sz="4" w:space="0"/>
              <w:left w:val="nil"/>
              <w:bottom w:val="single" w:color="auto" w:sz="4" w:space="0"/>
              <w:right w:val="single" w:color="auto" w:sz="4" w:space="0"/>
            </w:tcBorders>
            <w:vAlign w:val="center"/>
          </w:tcPr>
          <w:p w14:paraId="0D45978E">
            <w:pPr>
              <w:ind w:left="0"/>
              <w:jc w:val="center"/>
              <w:textAlignment w:val="center"/>
              <w:rPr>
                <w:color w:val="000000"/>
                <w:sz w:val="22"/>
                <w:szCs w:val="22"/>
              </w:rPr>
            </w:pPr>
            <w:r>
              <w:rPr>
                <w:color w:val="000000"/>
                <w:kern w:val="0"/>
                <w:sz w:val="22"/>
                <w:szCs w:val="22"/>
                <w:lang w:bidi="ar"/>
              </w:rPr>
              <w:t>75</w:t>
            </w:r>
          </w:p>
        </w:tc>
        <w:tc>
          <w:tcPr>
            <w:tcW w:w="1159" w:type="pct"/>
            <w:tcBorders>
              <w:top w:val="single" w:color="auto" w:sz="4" w:space="0"/>
              <w:left w:val="nil"/>
              <w:bottom w:val="single" w:color="auto" w:sz="4" w:space="0"/>
              <w:right w:val="single" w:color="auto" w:sz="4" w:space="0"/>
            </w:tcBorders>
            <w:vAlign w:val="center"/>
          </w:tcPr>
          <w:p w14:paraId="41D3D024">
            <w:pPr>
              <w:ind w:left="0"/>
              <w:jc w:val="center"/>
              <w:textAlignment w:val="center"/>
              <w:rPr>
                <w:color w:val="000000"/>
                <w:sz w:val="22"/>
                <w:szCs w:val="22"/>
              </w:rPr>
            </w:pPr>
            <w:r>
              <w:rPr>
                <w:color w:val="000000"/>
                <w:kern w:val="0"/>
                <w:sz w:val="22"/>
                <w:szCs w:val="22"/>
                <w:lang w:bidi="ar"/>
              </w:rPr>
              <w:t>75.00</w:t>
            </w:r>
          </w:p>
        </w:tc>
        <w:tc>
          <w:tcPr>
            <w:tcW w:w="1006" w:type="pct"/>
            <w:tcBorders>
              <w:top w:val="single" w:color="auto" w:sz="4" w:space="0"/>
              <w:left w:val="nil"/>
              <w:bottom w:val="single" w:color="auto" w:sz="4" w:space="0"/>
              <w:right w:val="single" w:color="auto" w:sz="4" w:space="0"/>
            </w:tcBorders>
            <w:vAlign w:val="center"/>
          </w:tcPr>
          <w:p w14:paraId="75E4DFB3">
            <w:pPr>
              <w:ind w:left="0"/>
              <w:jc w:val="center"/>
              <w:textAlignment w:val="center"/>
              <w:rPr>
                <w:color w:val="000000"/>
                <w:sz w:val="22"/>
                <w:szCs w:val="22"/>
              </w:rPr>
            </w:pPr>
            <w:r>
              <w:rPr>
                <w:color w:val="000000"/>
                <w:kern w:val="0"/>
                <w:sz w:val="22"/>
                <w:szCs w:val="22"/>
                <w:lang w:bidi="ar"/>
              </w:rPr>
              <w:t>0.00</w:t>
            </w:r>
          </w:p>
        </w:tc>
        <w:tc>
          <w:tcPr>
            <w:tcW w:w="1205" w:type="pct"/>
            <w:tcBorders>
              <w:top w:val="single" w:color="auto" w:sz="4" w:space="0"/>
              <w:left w:val="nil"/>
              <w:bottom w:val="single" w:color="auto" w:sz="4" w:space="0"/>
              <w:right w:val="single" w:color="auto" w:sz="4" w:space="0"/>
            </w:tcBorders>
            <w:vAlign w:val="center"/>
          </w:tcPr>
          <w:p w14:paraId="6866C212">
            <w:pPr>
              <w:ind w:left="0"/>
              <w:jc w:val="center"/>
              <w:textAlignment w:val="center"/>
              <w:rPr>
                <w:color w:val="000000"/>
                <w:sz w:val="22"/>
                <w:szCs w:val="22"/>
              </w:rPr>
            </w:pPr>
            <w:r>
              <w:rPr>
                <w:color w:val="000000"/>
                <w:kern w:val="0"/>
                <w:sz w:val="22"/>
                <w:szCs w:val="22"/>
                <w:lang w:bidi="ar"/>
              </w:rPr>
              <w:t>0.12</w:t>
            </w:r>
          </w:p>
        </w:tc>
      </w:tr>
      <w:tr w14:paraId="4DACC13D">
        <w:tblPrEx>
          <w:tblCellMar>
            <w:top w:w="0" w:type="dxa"/>
            <w:left w:w="108" w:type="dxa"/>
            <w:bottom w:w="0" w:type="dxa"/>
            <w:right w:w="108" w:type="dxa"/>
          </w:tblCellMar>
        </w:tblPrEx>
        <w:trPr>
          <w:trHeight w:val="290" w:hRule="atLeast"/>
          <w:jc w:val="center"/>
        </w:trPr>
        <w:tc>
          <w:tcPr>
            <w:tcW w:w="650" w:type="pct"/>
            <w:tcBorders>
              <w:top w:val="nil"/>
              <w:left w:val="single" w:color="auto" w:sz="4" w:space="0"/>
              <w:bottom w:val="single" w:color="auto" w:sz="4" w:space="0"/>
              <w:right w:val="single" w:color="auto" w:sz="4" w:space="0"/>
            </w:tcBorders>
            <w:vAlign w:val="center"/>
          </w:tcPr>
          <w:p w14:paraId="57C9CB5A">
            <w:pPr>
              <w:ind w:left="0"/>
              <w:jc w:val="center"/>
              <w:rPr>
                <w:rFonts w:cs="宋体"/>
                <w:color w:val="000000"/>
                <w:kern w:val="0"/>
                <w:sz w:val="21"/>
                <w:szCs w:val="21"/>
              </w:rPr>
            </w:pPr>
            <w:r>
              <w:rPr>
                <w:rFonts w:hint="eastAsia" w:cs="宋体"/>
                <w:color w:val="000000"/>
                <w:kern w:val="0"/>
                <w:sz w:val="21"/>
                <w:szCs w:val="21"/>
              </w:rPr>
              <w:t>3</w:t>
            </w:r>
          </w:p>
        </w:tc>
        <w:tc>
          <w:tcPr>
            <w:tcW w:w="977" w:type="pct"/>
            <w:tcBorders>
              <w:top w:val="single" w:color="auto" w:sz="4" w:space="0"/>
              <w:left w:val="nil"/>
              <w:bottom w:val="single" w:color="auto" w:sz="4" w:space="0"/>
              <w:right w:val="single" w:color="auto" w:sz="4" w:space="0"/>
            </w:tcBorders>
            <w:vAlign w:val="center"/>
          </w:tcPr>
          <w:p w14:paraId="738B0FFD">
            <w:pPr>
              <w:ind w:left="0"/>
              <w:jc w:val="center"/>
              <w:textAlignment w:val="center"/>
              <w:rPr>
                <w:color w:val="000000"/>
                <w:sz w:val="22"/>
                <w:szCs w:val="22"/>
              </w:rPr>
            </w:pPr>
            <w:r>
              <w:rPr>
                <w:color w:val="000000"/>
                <w:kern w:val="0"/>
                <w:sz w:val="22"/>
                <w:szCs w:val="22"/>
                <w:lang w:bidi="ar"/>
              </w:rPr>
              <w:t>175.05</w:t>
            </w:r>
          </w:p>
        </w:tc>
        <w:tc>
          <w:tcPr>
            <w:tcW w:w="1159" w:type="pct"/>
            <w:tcBorders>
              <w:top w:val="single" w:color="auto" w:sz="4" w:space="0"/>
              <w:left w:val="nil"/>
              <w:bottom w:val="single" w:color="auto" w:sz="4" w:space="0"/>
              <w:right w:val="single" w:color="auto" w:sz="4" w:space="0"/>
            </w:tcBorders>
            <w:vAlign w:val="center"/>
          </w:tcPr>
          <w:p w14:paraId="38F14403">
            <w:pPr>
              <w:ind w:left="0"/>
              <w:jc w:val="center"/>
              <w:textAlignment w:val="center"/>
              <w:rPr>
                <w:color w:val="000000"/>
                <w:sz w:val="22"/>
                <w:szCs w:val="22"/>
              </w:rPr>
            </w:pPr>
            <w:r>
              <w:rPr>
                <w:color w:val="000000"/>
                <w:kern w:val="0"/>
                <w:sz w:val="22"/>
                <w:szCs w:val="22"/>
                <w:lang w:bidi="ar"/>
              </w:rPr>
              <w:t>175.05</w:t>
            </w:r>
          </w:p>
        </w:tc>
        <w:tc>
          <w:tcPr>
            <w:tcW w:w="1006" w:type="pct"/>
            <w:tcBorders>
              <w:top w:val="single" w:color="auto" w:sz="4" w:space="0"/>
              <w:left w:val="nil"/>
              <w:bottom w:val="single" w:color="auto" w:sz="4" w:space="0"/>
              <w:right w:val="single" w:color="auto" w:sz="4" w:space="0"/>
            </w:tcBorders>
            <w:vAlign w:val="center"/>
          </w:tcPr>
          <w:p w14:paraId="1ACAFE89">
            <w:pPr>
              <w:ind w:left="0"/>
              <w:jc w:val="center"/>
              <w:textAlignment w:val="center"/>
              <w:rPr>
                <w:color w:val="000000"/>
                <w:sz w:val="22"/>
                <w:szCs w:val="22"/>
              </w:rPr>
            </w:pPr>
            <w:r>
              <w:rPr>
                <w:color w:val="000000"/>
                <w:kern w:val="0"/>
                <w:sz w:val="22"/>
                <w:szCs w:val="22"/>
                <w:lang w:bidi="ar"/>
              </w:rPr>
              <w:t>0.00</w:t>
            </w:r>
          </w:p>
        </w:tc>
        <w:tc>
          <w:tcPr>
            <w:tcW w:w="1205" w:type="pct"/>
            <w:tcBorders>
              <w:top w:val="single" w:color="auto" w:sz="4" w:space="0"/>
              <w:left w:val="nil"/>
              <w:bottom w:val="single" w:color="auto" w:sz="4" w:space="0"/>
              <w:right w:val="single" w:color="auto" w:sz="4" w:space="0"/>
            </w:tcBorders>
            <w:vAlign w:val="center"/>
          </w:tcPr>
          <w:p w14:paraId="78938045">
            <w:pPr>
              <w:ind w:left="0"/>
              <w:jc w:val="center"/>
              <w:textAlignment w:val="center"/>
              <w:rPr>
                <w:color w:val="000000"/>
                <w:sz w:val="22"/>
                <w:szCs w:val="22"/>
              </w:rPr>
            </w:pPr>
            <w:r>
              <w:rPr>
                <w:color w:val="000000"/>
                <w:kern w:val="0"/>
                <w:sz w:val="22"/>
                <w:szCs w:val="22"/>
                <w:lang w:bidi="ar"/>
              </w:rPr>
              <w:t>0.13</w:t>
            </w:r>
          </w:p>
        </w:tc>
      </w:tr>
      <w:tr w14:paraId="7206B38D">
        <w:tblPrEx>
          <w:tblCellMar>
            <w:top w:w="0" w:type="dxa"/>
            <w:left w:w="108" w:type="dxa"/>
            <w:bottom w:w="0" w:type="dxa"/>
            <w:right w:w="108" w:type="dxa"/>
          </w:tblCellMar>
        </w:tblPrEx>
        <w:trPr>
          <w:trHeight w:val="340" w:hRule="atLeast"/>
          <w:jc w:val="center"/>
        </w:trPr>
        <w:tc>
          <w:tcPr>
            <w:tcW w:w="650" w:type="pct"/>
            <w:tcBorders>
              <w:top w:val="nil"/>
              <w:left w:val="single" w:color="auto" w:sz="4" w:space="0"/>
              <w:bottom w:val="single" w:color="auto" w:sz="4" w:space="0"/>
              <w:right w:val="single" w:color="auto" w:sz="4" w:space="0"/>
            </w:tcBorders>
            <w:vAlign w:val="center"/>
          </w:tcPr>
          <w:p w14:paraId="777E29D5">
            <w:pPr>
              <w:ind w:left="0"/>
              <w:jc w:val="center"/>
              <w:rPr>
                <w:rFonts w:cs="宋体"/>
                <w:color w:val="000000"/>
                <w:kern w:val="0"/>
                <w:sz w:val="21"/>
                <w:szCs w:val="21"/>
              </w:rPr>
            </w:pPr>
            <w:r>
              <w:rPr>
                <w:rFonts w:hint="eastAsia" w:cs="宋体"/>
                <w:color w:val="000000"/>
                <w:kern w:val="0"/>
                <w:sz w:val="21"/>
                <w:szCs w:val="21"/>
              </w:rPr>
              <w:t>4</w:t>
            </w:r>
          </w:p>
        </w:tc>
        <w:tc>
          <w:tcPr>
            <w:tcW w:w="977" w:type="pct"/>
            <w:tcBorders>
              <w:top w:val="single" w:color="auto" w:sz="4" w:space="0"/>
              <w:left w:val="nil"/>
              <w:bottom w:val="single" w:color="auto" w:sz="4" w:space="0"/>
              <w:right w:val="single" w:color="auto" w:sz="4" w:space="0"/>
            </w:tcBorders>
            <w:vAlign w:val="center"/>
          </w:tcPr>
          <w:p w14:paraId="3E17C711">
            <w:pPr>
              <w:ind w:left="0"/>
              <w:jc w:val="center"/>
              <w:textAlignment w:val="center"/>
              <w:rPr>
                <w:color w:val="000000"/>
                <w:sz w:val="22"/>
                <w:szCs w:val="22"/>
              </w:rPr>
            </w:pPr>
            <w:r>
              <w:rPr>
                <w:color w:val="000000"/>
                <w:kern w:val="0"/>
                <w:sz w:val="22"/>
                <w:szCs w:val="22"/>
                <w:lang w:bidi="ar"/>
              </w:rPr>
              <w:t>275.15</w:t>
            </w:r>
          </w:p>
        </w:tc>
        <w:tc>
          <w:tcPr>
            <w:tcW w:w="1159" w:type="pct"/>
            <w:tcBorders>
              <w:top w:val="single" w:color="auto" w:sz="4" w:space="0"/>
              <w:left w:val="nil"/>
              <w:bottom w:val="single" w:color="auto" w:sz="4" w:space="0"/>
              <w:right w:val="single" w:color="auto" w:sz="4" w:space="0"/>
            </w:tcBorders>
            <w:vAlign w:val="center"/>
          </w:tcPr>
          <w:p w14:paraId="313CA63A">
            <w:pPr>
              <w:ind w:left="0"/>
              <w:jc w:val="center"/>
              <w:textAlignment w:val="center"/>
              <w:rPr>
                <w:color w:val="000000"/>
                <w:sz w:val="22"/>
                <w:szCs w:val="22"/>
              </w:rPr>
            </w:pPr>
            <w:r>
              <w:rPr>
                <w:color w:val="000000"/>
                <w:kern w:val="0"/>
                <w:sz w:val="22"/>
                <w:szCs w:val="22"/>
                <w:lang w:bidi="ar"/>
              </w:rPr>
              <w:t>275.10</w:t>
            </w:r>
          </w:p>
        </w:tc>
        <w:tc>
          <w:tcPr>
            <w:tcW w:w="1006" w:type="pct"/>
            <w:tcBorders>
              <w:top w:val="single" w:color="auto" w:sz="4" w:space="0"/>
              <w:left w:val="nil"/>
              <w:bottom w:val="single" w:color="auto" w:sz="4" w:space="0"/>
              <w:right w:val="single" w:color="auto" w:sz="4" w:space="0"/>
            </w:tcBorders>
            <w:vAlign w:val="center"/>
          </w:tcPr>
          <w:p w14:paraId="7EC1CABF">
            <w:pPr>
              <w:ind w:left="0"/>
              <w:jc w:val="center"/>
              <w:textAlignment w:val="center"/>
              <w:rPr>
                <w:color w:val="000000"/>
                <w:sz w:val="22"/>
                <w:szCs w:val="22"/>
              </w:rPr>
            </w:pPr>
            <w:r>
              <w:rPr>
                <w:color w:val="000000"/>
                <w:kern w:val="0"/>
                <w:sz w:val="22"/>
                <w:szCs w:val="22"/>
                <w:lang w:bidi="ar"/>
              </w:rPr>
              <w:t>-0.05</w:t>
            </w:r>
          </w:p>
        </w:tc>
        <w:tc>
          <w:tcPr>
            <w:tcW w:w="1205" w:type="pct"/>
            <w:tcBorders>
              <w:top w:val="single" w:color="auto" w:sz="4" w:space="0"/>
              <w:left w:val="nil"/>
              <w:bottom w:val="single" w:color="auto" w:sz="4" w:space="0"/>
              <w:right w:val="single" w:color="auto" w:sz="4" w:space="0"/>
            </w:tcBorders>
            <w:vAlign w:val="center"/>
          </w:tcPr>
          <w:p w14:paraId="6B8BECC2">
            <w:pPr>
              <w:ind w:left="0"/>
              <w:jc w:val="center"/>
              <w:textAlignment w:val="center"/>
              <w:rPr>
                <w:color w:val="000000"/>
                <w:sz w:val="22"/>
                <w:szCs w:val="22"/>
              </w:rPr>
            </w:pPr>
            <w:r>
              <w:rPr>
                <w:color w:val="000000"/>
                <w:kern w:val="0"/>
                <w:sz w:val="22"/>
                <w:szCs w:val="22"/>
                <w:lang w:bidi="ar"/>
              </w:rPr>
              <w:t>0.14</w:t>
            </w:r>
          </w:p>
        </w:tc>
      </w:tr>
      <w:tr w14:paraId="227FF99A">
        <w:tblPrEx>
          <w:tblCellMar>
            <w:top w:w="0" w:type="dxa"/>
            <w:left w:w="108" w:type="dxa"/>
            <w:bottom w:w="0" w:type="dxa"/>
            <w:right w:w="108" w:type="dxa"/>
          </w:tblCellMar>
        </w:tblPrEx>
        <w:trPr>
          <w:trHeight w:val="290" w:hRule="atLeast"/>
          <w:jc w:val="center"/>
        </w:trPr>
        <w:tc>
          <w:tcPr>
            <w:tcW w:w="650" w:type="pct"/>
            <w:tcBorders>
              <w:top w:val="nil"/>
              <w:left w:val="single" w:color="auto" w:sz="4" w:space="0"/>
              <w:bottom w:val="single" w:color="auto" w:sz="4" w:space="0"/>
              <w:right w:val="single" w:color="auto" w:sz="4" w:space="0"/>
            </w:tcBorders>
            <w:vAlign w:val="center"/>
          </w:tcPr>
          <w:p w14:paraId="062329C7">
            <w:pPr>
              <w:ind w:left="0"/>
              <w:jc w:val="center"/>
              <w:rPr>
                <w:rFonts w:cs="宋体"/>
                <w:color w:val="000000"/>
                <w:kern w:val="0"/>
                <w:sz w:val="21"/>
                <w:szCs w:val="21"/>
              </w:rPr>
            </w:pPr>
            <w:r>
              <w:rPr>
                <w:rFonts w:hint="eastAsia" w:cs="宋体"/>
                <w:color w:val="000000"/>
                <w:kern w:val="0"/>
                <w:sz w:val="21"/>
                <w:szCs w:val="21"/>
              </w:rPr>
              <w:t>5</w:t>
            </w:r>
          </w:p>
        </w:tc>
        <w:tc>
          <w:tcPr>
            <w:tcW w:w="977" w:type="pct"/>
            <w:tcBorders>
              <w:top w:val="single" w:color="auto" w:sz="4" w:space="0"/>
              <w:left w:val="nil"/>
              <w:bottom w:val="single" w:color="auto" w:sz="4" w:space="0"/>
              <w:right w:val="single" w:color="auto" w:sz="4" w:space="0"/>
            </w:tcBorders>
            <w:vAlign w:val="center"/>
          </w:tcPr>
          <w:p w14:paraId="0E066D05">
            <w:pPr>
              <w:ind w:left="0"/>
              <w:jc w:val="center"/>
              <w:textAlignment w:val="center"/>
              <w:rPr>
                <w:color w:val="000000"/>
                <w:sz w:val="22"/>
                <w:szCs w:val="22"/>
              </w:rPr>
            </w:pPr>
            <w:r>
              <w:rPr>
                <w:color w:val="000000"/>
                <w:kern w:val="0"/>
                <w:sz w:val="22"/>
                <w:szCs w:val="22"/>
                <w:lang w:bidi="ar"/>
              </w:rPr>
              <w:t>375.1</w:t>
            </w:r>
          </w:p>
        </w:tc>
        <w:tc>
          <w:tcPr>
            <w:tcW w:w="1159" w:type="pct"/>
            <w:tcBorders>
              <w:top w:val="single" w:color="auto" w:sz="4" w:space="0"/>
              <w:left w:val="nil"/>
              <w:bottom w:val="single" w:color="auto" w:sz="4" w:space="0"/>
              <w:right w:val="single" w:color="auto" w:sz="4" w:space="0"/>
            </w:tcBorders>
            <w:vAlign w:val="center"/>
          </w:tcPr>
          <w:p w14:paraId="2791155C">
            <w:pPr>
              <w:ind w:left="0"/>
              <w:jc w:val="center"/>
              <w:textAlignment w:val="center"/>
              <w:rPr>
                <w:color w:val="000000"/>
                <w:sz w:val="22"/>
                <w:szCs w:val="22"/>
              </w:rPr>
            </w:pPr>
            <w:r>
              <w:rPr>
                <w:color w:val="000000"/>
                <w:kern w:val="0"/>
                <w:sz w:val="22"/>
                <w:szCs w:val="22"/>
                <w:lang w:bidi="ar"/>
              </w:rPr>
              <w:t>375.15</w:t>
            </w:r>
          </w:p>
        </w:tc>
        <w:tc>
          <w:tcPr>
            <w:tcW w:w="1006" w:type="pct"/>
            <w:tcBorders>
              <w:top w:val="single" w:color="auto" w:sz="4" w:space="0"/>
              <w:left w:val="nil"/>
              <w:bottom w:val="single" w:color="auto" w:sz="4" w:space="0"/>
              <w:right w:val="single" w:color="auto" w:sz="4" w:space="0"/>
            </w:tcBorders>
            <w:vAlign w:val="center"/>
          </w:tcPr>
          <w:p w14:paraId="03ED3B46">
            <w:pPr>
              <w:ind w:left="0"/>
              <w:jc w:val="center"/>
              <w:textAlignment w:val="center"/>
              <w:rPr>
                <w:color w:val="000000"/>
                <w:sz w:val="22"/>
                <w:szCs w:val="22"/>
              </w:rPr>
            </w:pPr>
            <w:r>
              <w:rPr>
                <w:color w:val="000000"/>
                <w:kern w:val="0"/>
                <w:sz w:val="22"/>
                <w:szCs w:val="22"/>
                <w:lang w:bidi="ar"/>
              </w:rPr>
              <w:t>0.05</w:t>
            </w:r>
          </w:p>
        </w:tc>
        <w:tc>
          <w:tcPr>
            <w:tcW w:w="1205" w:type="pct"/>
            <w:tcBorders>
              <w:top w:val="single" w:color="auto" w:sz="4" w:space="0"/>
              <w:left w:val="nil"/>
              <w:bottom w:val="single" w:color="auto" w:sz="4" w:space="0"/>
              <w:right w:val="single" w:color="auto" w:sz="4" w:space="0"/>
            </w:tcBorders>
            <w:vAlign w:val="center"/>
          </w:tcPr>
          <w:p w14:paraId="3F079F88">
            <w:pPr>
              <w:ind w:left="0"/>
              <w:jc w:val="center"/>
              <w:textAlignment w:val="center"/>
              <w:rPr>
                <w:color w:val="000000"/>
                <w:sz w:val="22"/>
                <w:szCs w:val="22"/>
              </w:rPr>
            </w:pPr>
            <w:r>
              <w:rPr>
                <w:color w:val="000000"/>
                <w:kern w:val="0"/>
                <w:sz w:val="22"/>
                <w:szCs w:val="22"/>
                <w:lang w:bidi="ar"/>
              </w:rPr>
              <w:t>0.15</w:t>
            </w:r>
          </w:p>
        </w:tc>
      </w:tr>
      <w:tr w14:paraId="049A82D3">
        <w:tblPrEx>
          <w:tblCellMar>
            <w:top w:w="0" w:type="dxa"/>
            <w:left w:w="108" w:type="dxa"/>
            <w:bottom w:w="0" w:type="dxa"/>
            <w:right w:w="108" w:type="dxa"/>
          </w:tblCellMar>
        </w:tblPrEx>
        <w:trPr>
          <w:trHeight w:val="290" w:hRule="atLeast"/>
          <w:jc w:val="center"/>
        </w:trPr>
        <w:tc>
          <w:tcPr>
            <w:tcW w:w="650" w:type="pct"/>
            <w:tcBorders>
              <w:top w:val="nil"/>
              <w:left w:val="single" w:color="auto" w:sz="4" w:space="0"/>
              <w:bottom w:val="single" w:color="auto" w:sz="4" w:space="0"/>
              <w:right w:val="single" w:color="auto" w:sz="4" w:space="0"/>
            </w:tcBorders>
            <w:vAlign w:val="center"/>
          </w:tcPr>
          <w:p w14:paraId="22975094">
            <w:pPr>
              <w:ind w:left="0"/>
              <w:jc w:val="center"/>
              <w:rPr>
                <w:rFonts w:cs="宋体"/>
                <w:color w:val="000000"/>
                <w:kern w:val="0"/>
                <w:sz w:val="21"/>
                <w:szCs w:val="21"/>
              </w:rPr>
            </w:pPr>
            <w:r>
              <w:rPr>
                <w:rFonts w:hint="eastAsia" w:cs="宋体"/>
                <w:color w:val="000000"/>
                <w:kern w:val="0"/>
                <w:sz w:val="21"/>
                <w:szCs w:val="21"/>
              </w:rPr>
              <w:t>6</w:t>
            </w:r>
          </w:p>
        </w:tc>
        <w:tc>
          <w:tcPr>
            <w:tcW w:w="977" w:type="pct"/>
            <w:tcBorders>
              <w:top w:val="single" w:color="auto" w:sz="4" w:space="0"/>
              <w:left w:val="nil"/>
              <w:bottom w:val="single" w:color="auto" w:sz="4" w:space="0"/>
              <w:right w:val="single" w:color="auto" w:sz="4" w:space="0"/>
            </w:tcBorders>
            <w:vAlign w:val="center"/>
          </w:tcPr>
          <w:p w14:paraId="21FB0A1F">
            <w:pPr>
              <w:ind w:left="0"/>
              <w:jc w:val="center"/>
              <w:textAlignment w:val="center"/>
              <w:rPr>
                <w:color w:val="000000"/>
                <w:sz w:val="22"/>
                <w:szCs w:val="22"/>
              </w:rPr>
            </w:pPr>
            <w:r>
              <w:rPr>
                <w:color w:val="000000"/>
                <w:kern w:val="0"/>
                <w:sz w:val="22"/>
                <w:szCs w:val="22"/>
                <w:lang w:bidi="ar"/>
              </w:rPr>
              <w:t>475.05</w:t>
            </w:r>
          </w:p>
        </w:tc>
        <w:tc>
          <w:tcPr>
            <w:tcW w:w="1159" w:type="pct"/>
            <w:tcBorders>
              <w:top w:val="single" w:color="auto" w:sz="4" w:space="0"/>
              <w:left w:val="nil"/>
              <w:bottom w:val="single" w:color="auto" w:sz="4" w:space="0"/>
              <w:right w:val="single" w:color="auto" w:sz="4" w:space="0"/>
            </w:tcBorders>
            <w:vAlign w:val="center"/>
          </w:tcPr>
          <w:p w14:paraId="36BFFE43">
            <w:pPr>
              <w:ind w:left="0"/>
              <w:jc w:val="center"/>
              <w:textAlignment w:val="center"/>
              <w:rPr>
                <w:color w:val="000000"/>
                <w:sz w:val="22"/>
                <w:szCs w:val="22"/>
              </w:rPr>
            </w:pPr>
            <w:r>
              <w:rPr>
                <w:color w:val="000000"/>
                <w:kern w:val="0"/>
                <w:sz w:val="22"/>
                <w:szCs w:val="22"/>
                <w:lang w:bidi="ar"/>
              </w:rPr>
              <w:t>475.10</w:t>
            </w:r>
          </w:p>
        </w:tc>
        <w:tc>
          <w:tcPr>
            <w:tcW w:w="1006" w:type="pct"/>
            <w:tcBorders>
              <w:top w:val="single" w:color="auto" w:sz="4" w:space="0"/>
              <w:left w:val="nil"/>
              <w:bottom w:val="single" w:color="auto" w:sz="4" w:space="0"/>
              <w:right w:val="single" w:color="auto" w:sz="4" w:space="0"/>
            </w:tcBorders>
            <w:vAlign w:val="center"/>
          </w:tcPr>
          <w:p w14:paraId="7E8A1040">
            <w:pPr>
              <w:ind w:left="0"/>
              <w:jc w:val="center"/>
              <w:textAlignment w:val="center"/>
              <w:rPr>
                <w:color w:val="000000"/>
                <w:sz w:val="22"/>
                <w:szCs w:val="22"/>
              </w:rPr>
            </w:pPr>
            <w:r>
              <w:rPr>
                <w:color w:val="000000"/>
                <w:kern w:val="0"/>
                <w:sz w:val="22"/>
                <w:szCs w:val="22"/>
                <w:lang w:bidi="ar"/>
              </w:rPr>
              <w:t>0.05</w:t>
            </w:r>
          </w:p>
        </w:tc>
        <w:tc>
          <w:tcPr>
            <w:tcW w:w="1205" w:type="pct"/>
            <w:tcBorders>
              <w:top w:val="single" w:color="auto" w:sz="4" w:space="0"/>
              <w:left w:val="nil"/>
              <w:bottom w:val="single" w:color="auto" w:sz="4" w:space="0"/>
              <w:right w:val="single" w:color="auto" w:sz="4" w:space="0"/>
            </w:tcBorders>
            <w:vAlign w:val="center"/>
          </w:tcPr>
          <w:p w14:paraId="119E6522">
            <w:pPr>
              <w:ind w:left="0"/>
              <w:jc w:val="center"/>
              <w:textAlignment w:val="center"/>
              <w:rPr>
                <w:color w:val="000000"/>
                <w:sz w:val="22"/>
                <w:szCs w:val="22"/>
              </w:rPr>
            </w:pPr>
            <w:r>
              <w:rPr>
                <w:color w:val="000000"/>
                <w:kern w:val="0"/>
                <w:sz w:val="22"/>
                <w:szCs w:val="22"/>
                <w:lang w:bidi="ar"/>
              </w:rPr>
              <w:t>0.17</w:t>
            </w:r>
          </w:p>
        </w:tc>
      </w:tr>
      <w:tr w14:paraId="64F8652D">
        <w:tblPrEx>
          <w:tblCellMar>
            <w:top w:w="0" w:type="dxa"/>
            <w:left w:w="108" w:type="dxa"/>
            <w:bottom w:w="0" w:type="dxa"/>
            <w:right w:w="108" w:type="dxa"/>
          </w:tblCellMar>
        </w:tblPrEx>
        <w:trPr>
          <w:trHeight w:val="340" w:hRule="atLeast"/>
          <w:jc w:val="center"/>
        </w:trPr>
        <w:tc>
          <w:tcPr>
            <w:tcW w:w="650" w:type="pct"/>
            <w:tcBorders>
              <w:top w:val="nil"/>
              <w:left w:val="single" w:color="auto" w:sz="4" w:space="0"/>
              <w:bottom w:val="single" w:color="auto" w:sz="4" w:space="0"/>
              <w:right w:val="single" w:color="auto" w:sz="4" w:space="0"/>
            </w:tcBorders>
            <w:vAlign w:val="center"/>
          </w:tcPr>
          <w:p w14:paraId="36999858">
            <w:pPr>
              <w:ind w:left="0"/>
              <w:jc w:val="center"/>
              <w:rPr>
                <w:rFonts w:cs="宋体"/>
                <w:color w:val="000000"/>
                <w:kern w:val="0"/>
                <w:sz w:val="21"/>
                <w:szCs w:val="21"/>
              </w:rPr>
            </w:pPr>
            <w:r>
              <w:rPr>
                <w:rFonts w:hint="eastAsia" w:cs="宋体"/>
                <w:color w:val="000000"/>
                <w:kern w:val="0"/>
                <w:sz w:val="21"/>
                <w:szCs w:val="21"/>
              </w:rPr>
              <w:t>7</w:t>
            </w:r>
          </w:p>
        </w:tc>
        <w:tc>
          <w:tcPr>
            <w:tcW w:w="977" w:type="pct"/>
            <w:tcBorders>
              <w:top w:val="single" w:color="auto" w:sz="4" w:space="0"/>
              <w:left w:val="nil"/>
              <w:bottom w:val="single" w:color="auto" w:sz="4" w:space="0"/>
              <w:right w:val="single" w:color="auto" w:sz="4" w:space="0"/>
            </w:tcBorders>
            <w:vAlign w:val="center"/>
          </w:tcPr>
          <w:p w14:paraId="3D762A95">
            <w:pPr>
              <w:ind w:left="0"/>
              <w:jc w:val="center"/>
              <w:textAlignment w:val="center"/>
              <w:rPr>
                <w:color w:val="000000"/>
                <w:sz w:val="22"/>
                <w:szCs w:val="22"/>
              </w:rPr>
            </w:pPr>
            <w:r>
              <w:rPr>
                <w:color w:val="000000"/>
                <w:kern w:val="0"/>
                <w:sz w:val="22"/>
                <w:szCs w:val="22"/>
                <w:lang w:bidi="ar"/>
              </w:rPr>
              <w:t>575.15</w:t>
            </w:r>
          </w:p>
        </w:tc>
        <w:tc>
          <w:tcPr>
            <w:tcW w:w="1159" w:type="pct"/>
            <w:tcBorders>
              <w:top w:val="single" w:color="auto" w:sz="4" w:space="0"/>
              <w:left w:val="nil"/>
              <w:bottom w:val="single" w:color="auto" w:sz="4" w:space="0"/>
              <w:right w:val="single" w:color="auto" w:sz="4" w:space="0"/>
            </w:tcBorders>
            <w:vAlign w:val="center"/>
          </w:tcPr>
          <w:p w14:paraId="794C5BF5">
            <w:pPr>
              <w:ind w:left="0"/>
              <w:jc w:val="center"/>
              <w:textAlignment w:val="center"/>
              <w:rPr>
                <w:color w:val="000000"/>
                <w:sz w:val="22"/>
                <w:szCs w:val="22"/>
              </w:rPr>
            </w:pPr>
            <w:r>
              <w:rPr>
                <w:color w:val="000000"/>
                <w:kern w:val="0"/>
                <w:sz w:val="22"/>
                <w:szCs w:val="22"/>
                <w:lang w:bidi="ar"/>
              </w:rPr>
              <w:t>575.25</w:t>
            </w:r>
          </w:p>
        </w:tc>
        <w:tc>
          <w:tcPr>
            <w:tcW w:w="1006" w:type="pct"/>
            <w:tcBorders>
              <w:top w:val="single" w:color="auto" w:sz="4" w:space="0"/>
              <w:left w:val="nil"/>
              <w:bottom w:val="single" w:color="auto" w:sz="4" w:space="0"/>
              <w:right w:val="single" w:color="auto" w:sz="4" w:space="0"/>
            </w:tcBorders>
            <w:vAlign w:val="center"/>
          </w:tcPr>
          <w:p w14:paraId="0170D14D">
            <w:pPr>
              <w:ind w:left="0"/>
              <w:jc w:val="center"/>
              <w:textAlignment w:val="center"/>
              <w:rPr>
                <w:color w:val="000000"/>
                <w:sz w:val="22"/>
                <w:szCs w:val="22"/>
              </w:rPr>
            </w:pPr>
            <w:r>
              <w:rPr>
                <w:color w:val="000000"/>
                <w:kern w:val="0"/>
                <w:sz w:val="22"/>
                <w:szCs w:val="22"/>
                <w:lang w:bidi="ar"/>
              </w:rPr>
              <w:t>0.10</w:t>
            </w:r>
          </w:p>
        </w:tc>
        <w:tc>
          <w:tcPr>
            <w:tcW w:w="1205" w:type="pct"/>
            <w:tcBorders>
              <w:top w:val="single" w:color="auto" w:sz="4" w:space="0"/>
              <w:left w:val="nil"/>
              <w:bottom w:val="single" w:color="auto" w:sz="4" w:space="0"/>
              <w:right w:val="single" w:color="auto" w:sz="4" w:space="0"/>
            </w:tcBorders>
            <w:vAlign w:val="center"/>
          </w:tcPr>
          <w:p w14:paraId="601A1DDC">
            <w:pPr>
              <w:ind w:left="0"/>
              <w:jc w:val="center"/>
              <w:textAlignment w:val="center"/>
              <w:rPr>
                <w:color w:val="000000"/>
                <w:sz w:val="22"/>
                <w:szCs w:val="22"/>
              </w:rPr>
            </w:pPr>
            <w:r>
              <w:rPr>
                <w:color w:val="000000"/>
                <w:kern w:val="0"/>
                <w:sz w:val="22"/>
                <w:szCs w:val="22"/>
                <w:lang w:bidi="ar"/>
              </w:rPr>
              <w:t>0.19</w:t>
            </w:r>
          </w:p>
        </w:tc>
      </w:tr>
      <w:tr w14:paraId="76868750">
        <w:tblPrEx>
          <w:tblCellMar>
            <w:top w:w="0" w:type="dxa"/>
            <w:left w:w="108" w:type="dxa"/>
            <w:bottom w:w="0" w:type="dxa"/>
            <w:right w:w="108" w:type="dxa"/>
          </w:tblCellMar>
        </w:tblPrEx>
        <w:trPr>
          <w:trHeight w:val="290" w:hRule="atLeast"/>
          <w:jc w:val="center"/>
        </w:trPr>
        <w:tc>
          <w:tcPr>
            <w:tcW w:w="650" w:type="pct"/>
            <w:tcBorders>
              <w:top w:val="nil"/>
              <w:left w:val="single" w:color="auto" w:sz="4" w:space="0"/>
              <w:bottom w:val="single" w:color="auto" w:sz="4" w:space="0"/>
              <w:right w:val="single" w:color="auto" w:sz="4" w:space="0"/>
            </w:tcBorders>
            <w:vAlign w:val="center"/>
          </w:tcPr>
          <w:p w14:paraId="284E5600">
            <w:pPr>
              <w:ind w:left="0"/>
              <w:jc w:val="center"/>
              <w:rPr>
                <w:rFonts w:cs="宋体"/>
                <w:color w:val="000000"/>
                <w:kern w:val="0"/>
                <w:sz w:val="21"/>
                <w:szCs w:val="21"/>
              </w:rPr>
            </w:pPr>
            <w:r>
              <w:rPr>
                <w:rFonts w:hint="eastAsia" w:cs="宋体"/>
                <w:color w:val="000000"/>
                <w:kern w:val="0"/>
                <w:sz w:val="21"/>
                <w:szCs w:val="21"/>
              </w:rPr>
              <w:t>8</w:t>
            </w:r>
          </w:p>
        </w:tc>
        <w:tc>
          <w:tcPr>
            <w:tcW w:w="977" w:type="pct"/>
            <w:tcBorders>
              <w:top w:val="single" w:color="auto" w:sz="4" w:space="0"/>
              <w:left w:val="nil"/>
              <w:bottom w:val="single" w:color="auto" w:sz="4" w:space="0"/>
              <w:right w:val="single" w:color="auto" w:sz="4" w:space="0"/>
            </w:tcBorders>
            <w:vAlign w:val="center"/>
          </w:tcPr>
          <w:p w14:paraId="604611FE">
            <w:pPr>
              <w:ind w:left="0"/>
              <w:jc w:val="center"/>
              <w:textAlignment w:val="center"/>
              <w:rPr>
                <w:color w:val="000000"/>
                <w:sz w:val="22"/>
                <w:szCs w:val="22"/>
              </w:rPr>
            </w:pPr>
            <w:r>
              <w:rPr>
                <w:color w:val="000000"/>
                <w:kern w:val="0"/>
                <w:sz w:val="22"/>
                <w:szCs w:val="22"/>
                <w:lang w:bidi="ar"/>
              </w:rPr>
              <w:t>675.2</w:t>
            </w:r>
          </w:p>
        </w:tc>
        <w:tc>
          <w:tcPr>
            <w:tcW w:w="1159" w:type="pct"/>
            <w:tcBorders>
              <w:top w:val="single" w:color="auto" w:sz="4" w:space="0"/>
              <w:left w:val="nil"/>
              <w:bottom w:val="single" w:color="auto" w:sz="4" w:space="0"/>
              <w:right w:val="single" w:color="auto" w:sz="4" w:space="0"/>
            </w:tcBorders>
            <w:vAlign w:val="center"/>
          </w:tcPr>
          <w:p w14:paraId="7B2D2EDD">
            <w:pPr>
              <w:ind w:left="0"/>
              <w:jc w:val="center"/>
              <w:textAlignment w:val="center"/>
              <w:rPr>
                <w:color w:val="000000"/>
                <w:sz w:val="22"/>
                <w:szCs w:val="22"/>
              </w:rPr>
            </w:pPr>
            <w:r>
              <w:rPr>
                <w:color w:val="000000"/>
                <w:kern w:val="0"/>
                <w:sz w:val="22"/>
                <w:szCs w:val="22"/>
                <w:lang w:bidi="ar"/>
              </w:rPr>
              <w:t>675.35</w:t>
            </w:r>
          </w:p>
        </w:tc>
        <w:tc>
          <w:tcPr>
            <w:tcW w:w="1006" w:type="pct"/>
            <w:tcBorders>
              <w:top w:val="single" w:color="auto" w:sz="4" w:space="0"/>
              <w:left w:val="nil"/>
              <w:bottom w:val="single" w:color="auto" w:sz="4" w:space="0"/>
              <w:right w:val="single" w:color="auto" w:sz="4" w:space="0"/>
            </w:tcBorders>
            <w:vAlign w:val="center"/>
          </w:tcPr>
          <w:p w14:paraId="0F6BBC37">
            <w:pPr>
              <w:ind w:left="0"/>
              <w:jc w:val="center"/>
              <w:textAlignment w:val="center"/>
              <w:rPr>
                <w:color w:val="000000"/>
                <w:sz w:val="22"/>
                <w:szCs w:val="22"/>
              </w:rPr>
            </w:pPr>
            <w:r>
              <w:rPr>
                <w:color w:val="000000"/>
                <w:kern w:val="0"/>
                <w:sz w:val="22"/>
                <w:szCs w:val="22"/>
                <w:lang w:bidi="ar"/>
              </w:rPr>
              <w:t>0.15</w:t>
            </w:r>
          </w:p>
        </w:tc>
        <w:tc>
          <w:tcPr>
            <w:tcW w:w="1205" w:type="pct"/>
            <w:tcBorders>
              <w:top w:val="single" w:color="auto" w:sz="4" w:space="0"/>
              <w:left w:val="nil"/>
              <w:bottom w:val="single" w:color="auto" w:sz="4" w:space="0"/>
              <w:right w:val="single" w:color="auto" w:sz="4" w:space="0"/>
            </w:tcBorders>
            <w:vAlign w:val="center"/>
          </w:tcPr>
          <w:p w14:paraId="33203B0F">
            <w:pPr>
              <w:ind w:left="0"/>
              <w:jc w:val="center"/>
              <w:textAlignment w:val="center"/>
              <w:rPr>
                <w:color w:val="000000"/>
                <w:sz w:val="22"/>
                <w:szCs w:val="22"/>
              </w:rPr>
            </w:pPr>
            <w:r>
              <w:rPr>
                <w:color w:val="000000"/>
                <w:kern w:val="0"/>
                <w:sz w:val="22"/>
                <w:szCs w:val="22"/>
                <w:lang w:bidi="ar"/>
              </w:rPr>
              <w:t>0.21</w:t>
            </w:r>
          </w:p>
        </w:tc>
      </w:tr>
      <w:tr w14:paraId="1AB78CD6">
        <w:tblPrEx>
          <w:tblCellMar>
            <w:top w:w="0" w:type="dxa"/>
            <w:left w:w="108" w:type="dxa"/>
            <w:bottom w:w="0" w:type="dxa"/>
            <w:right w:w="108" w:type="dxa"/>
          </w:tblCellMar>
        </w:tblPrEx>
        <w:trPr>
          <w:trHeight w:val="290" w:hRule="atLeast"/>
          <w:jc w:val="center"/>
        </w:trPr>
        <w:tc>
          <w:tcPr>
            <w:tcW w:w="650" w:type="pct"/>
            <w:tcBorders>
              <w:top w:val="nil"/>
              <w:left w:val="single" w:color="auto" w:sz="4" w:space="0"/>
              <w:bottom w:val="single" w:color="auto" w:sz="4" w:space="0"/>
              <w:right w:val="single" w:color="auto" w:sz="4" w:space="0"/>
            </w:tcBorders>
            <w:vAlign w:val="center"/>
          </w:tcPr>
          <w:p w14:paraId="2201F23D">
            <w:pPr>
              <w:ind w:left="0"/>
              <w:jc w:val="center"/>
              <w:rPr>
                <w:rFonts w:cs="宋体"/>
                <w:color w:val="000000"/>
                <w:kern w:val="0"/>
                <w:sz w:val="21"/>
                <w:szCs w:val="21"/>
              </w:rPr>
            </w:pPr>
            <w:r>
              <w:rPr>
                <w:rFonts w:hint="eastAsia" w:cs="宋体"/>
                <w:color w:val="000000"/>
                <w:kern w:val="0"/>
                <w:sz w:val="21"/>
                <w:szCs w:val="21"/>
              </w:rPr>
              <w:t>9</w:t>
            </w:r>
          </w:p>
        </w:tc>
        <w:tc>
          <w:tcPr>
            <w:tcW w:w="977" w:type="pct"/>
            <w:tcBorders>
              <w:top w:val="single" w:color="auto" w:sz="4" w:space="0"/>
              <w:left w:val="nil"/>
              <w:bottom w:val="single" w:color="auto" w:sz="4" w:space="0"/>
              <w:right w:val="single" w:color="auto" w:sz="4" w:space="0"/>
            </w:tcBorders>
            <w:vAlign w:val="center"/>
          </w:tcPr>
          <w:p w14:paraId="3FB6D079">
            <w:pPr>
              <w:ind w:left="0"/>
              <w:jc w:val="center"/>
              <w:textAlignment w:val="center"/>
              <w:rPr>
                <w:color w:val="000000"/>
                <w:sz w:val="22"/>
                <w:szCs w:val="22"/>
              </w:rPr>
            </w:pPr>
            <w:r>
              <w:rPr>
                <w:color w:val="000000"/>
                <w:kern w:val="0"/>
                <w:sz w:val="22"/>
                <w:szCs w:val="22"/>
                <w:lang w:bidi="ar"/>
              </w:rPr>
              <w:t>775.25</w:t>
            </w:r>
          </w:p>
        </w:tc>
        <w:tc>
          <w:tcPr>
            <w:tcW w:w="1159" w:type="pct"/>
            <w:tcBorders>
              <w:top w:val="single" w:color="auto" w:sz="4" w:space="0"/>
              <w:left w:val="nil"/>
              <w:bottom w:val="single" w:color="auto" w:sz="4" w:space="0"/>
              <w:right w:val="single" w:color="auto" w:sz="4" w:space="0"/>
            </w:tcBorders>
            <w:vAlign w:val="center"/>
          </w:tcPr>
          <w:p w14:paraId="63688247">
            <w:pPr>
              <w:ind w:left="0"/>
              <w:jc w:val="center"/>
              <w:textAlignment w:val="center"/>
              <w:rPr>
                <w:color w:val="000000"/>
                <w:sz w:val="22"/>
                <w:szCs w:val="22"/>
              </w:rPr>
            </w:pPr>
            <w:r>
              <w:rPr>
                <w:color w:val="000000"/>
                <w:kern w:val="0"/>
                <w:sz w:val="22"/>
                <w:szCs w:val="22"/>
                <w:lang w:bidi="ar"/>
              </w:rPr>
              <w:t>775.40</w:t>
            </w:r>
          </w:p>
        </w:tc>
        <w:tc>
          <w:tcPr>
            <w:tcW w:w="1006" w:type="pct"/>
            <w:tcBorders>
              <w:top w:val="single" w:color="auto" w:sz="4" w:space="0"/>
              <w:left w:val="nil"/>
              <w:bottom w:val="single" w:color="auto" w:sz="4" w:space="0"/>
              <w:right w:val="single" w:color="auto" w:sz="4" w:space="0"/>
            </w:tcBorders>
            <w:vAlign w:val="center"/>
          </w:tcPr>
          <w:p w14:paraId="3B5AD335">
            <w:pPr>
              <w:ind w:left="0"/>
              <w:jc w:val="center"/>
              <w:textAlignment w:val="center"/>
              <w:rPr>
                <w:color w:val="000000"/>
                <w:sz w:val="22"/>
                <w:szCs w:val="22"/>
              </w:rPr>
            </w:pPr>
            <w:r>
              <w:rPr>
                <w:color w:val="000000"/>
                <w:kern w:val="0"/>
                <w:sz w:val="22"/>
                <w:szCs w:val="22"/>
                <w:lang w:bidi="ar"/>
              </w:rPr>
              <w:t>0.15</w:t>
            </w:r>
          </w:p>
        </w:tc>
        <w:tc>
          <w:tcPr>
            <w:tcW w:w="1205" w:type="pct"/>
            <w:tcBorders>
              <w:top w:val="single" w:color="auto" w:sz="4" w:space="0"/>
              <w:left w:val="nil"/>
              <w:bottom w:val="single" w:color="auto" w:sz="4" w:space="0"/>
              <w:right w:val="single" w:color="auto" w:sz="4" w:space="0"/>
            </w:tcBorders>
            <w:vAlign w:val="center"/>
          </w:tcPr>
          <w:p w14:paraId="266563EF">
            <w:pPr>
              <w:ind w:left="0"/>
              <w:jc w:val="center"/>
              <w:textAlignment w:val="center"/>
              <w:rPr>
                <w:color w:val="000000"/>
                <w:sz w:val="22"/>
                <w:szCs w:val="22"/>
              </w:rPr>
            </w:pPr>
            <w:r>
              <w:rPr>
                <w:color w:val="000000"/>
                <w:kern w:val="0"/>
                <w:sz w:val="22"/>
                <w:szCs w:val="22"/>
                <w:lang w:bidi="ar"/>
              </w:rPr>
              <w:t>0.23</w:t>
            </w:r>
          </w:p>
        </w:tc>
      </w:tr>
      <w:tr w14:paraId="47E826C7">
        <w:tblPrEx>
          <w:tblCellMar>
            <w:top w:w="0" w:type="dxa"/>
            <w:left w:w="108" w:type="dxa"/>
            <w:bottom w:w="0" w:type="dxa"/>
            <w:right w:w="108" w:type="dxa"/>
          </w:tblCellMar>
        </w:tblPrEx>
        <w:trPr>
          <w:trHeight w:val="280" w:hRule="atLeast"/>
          <w:jc w:val="center"/>
        </w:trPr>
        <w:tc>
          <w:tcPr>
            <w:tcW w:w="650" w:type="pct"/>
            <w:tcBorders>
              <w:top w:val="nil"/>
              <w:left w:val="single" w:color="auto" w:sz="4" w:space="0"/>
              <w:bottom w:val="single" w:color="auto" w:sz="4" w:space="0"/>
              <w:right w:val="single" w:color="auto" w:sz="4" w:space="0"/>
            </w:tcBorders>
            <w:vAlign w:val="center"/>
          </w:tcPr>
          <w:p w14:paraId="0EA2AC63">
            <w:pPr>
              <w:ind w:left="0"/>
              <w:jc w:val="center"/>
              <w:rPr>
                <w:rFonts w:cs="宋体"/>
                <w:color w:val="000000"/>
                <w:kern w:val="0"/>
                <w:sz w:val="21"/>
                <w:szCs w:val="21"/>
              </w:rPr>
            </w:pPr>
            <w:r>
              <w:rPr>
                <w:rFonts w:hint="eastAsia" w:cs="宋体"/>
                <w:color w:val="000000"/>
                <w:kern w:val="0"/>
                <w:sz w:val="21"/>
                <w:szCs w:val="21"/>
              </w:rPr>
              <w:t>10</w:t>
            </w:r>
          </w:p>
        </w:tc>
        <w:tc>
          <w:tcPr>
            <w:tcW w:w="977" w:type="pct"/>
            <w:tcBorders>
              <w:top w:val="single" w:color="auto" w:sz="4" w:space="0"/>
              <w:left w:val="nil"/>
              <w:bottom w:val="single" w:color="auto" w:sz="4" w:space="0"/>
              <w:right w:val="single" w:color="auto" w:sz="4" w:space="0"/>
            </w:tcBorders>
            <w:vAlign w:val="center"/>
          </w:tcPr>
          <w:p w14:paraId="11BBFFC0">
            <w:pPr>
              <w:ind w:left="0"/>
              <w:jc w:val="center"/>
              <w:textAlignment w:val="center"/>
              <w:rPr>
                <w:color w:val="000000"/>
                <w:sz w:val="22"/>
                <w:szCs w:val="22"/>
              </w:rPr>
            </w:pPr>
            <w:r>
              <w:rPr>
                <w:color w:val="000000"/>
                <w:kern w:val="0"/>
                <w:sz w:val="22"/>
                <w:szCs w:val="22"/>
                <w:lang w:bidi="ar"/>
              </w:rPr>
              <w:t>875.55</w:t>
            </w:r>
          </w:p>
        </w:tc>
        <w:tc>
          <w:tcPr>
            <w:tcW w:w="1159" w:type="pct"/>
            <w:tcBorders>
              <w:top w:val="single" w:color="auto" w:sz="4" w:space="0"/>
              <w:left w:val="nil"/>
              <w:bottom w:val="single" w:color="auto" w:sz="4" w:space="0"/>
              <w:right w:val="single" w:color="auto" w:sz="4" w:space="0"/>
            </w:tcBorders>
            <w:vAlign w:val="center"/>
          </w:tcPr>
          <w:p w14:paraId="744F1B8C">
            <w:pPr>
              <w:ind w:left="0"/>
              <w:jc w:val="center"/>
              <w:textAlignment w:val="center"/>
              <w:rPr>
                <w:color w:val="000000"/>
                <w:sz w:val="22"/>
                <w:szCs w:val="22"/>
              </w:rPr>
            </w:pPr>
            <w:r>
              <w:rPr>
                <w:color w:val="000000"/>
                <w:kern w:val="0"/>
                <w:sz w:val="22"/>
                <w:szCs w:val="22"/>
                <w:lang w:bidi="ar"/>
              </w:rPr>
              <w:t>875.70</w:t>
            </w:r>
          </w:p>
        </w:tc>
        <w:tc>
          <w:tcPr>
            <w:tcW w:w="1006" w:type="pct"/>
            <w:tcBorders>
              <w:top w:val="single" w:color="auto" w:sz="4" w:space="0"/>
              <w:left w:val="nil"/>
              <w:bottom w:val="single" w:color="auto" w:sz="4" w:space="0"/>
              <w:right w:val="single" w:color="auto" w:sz="4" w:space="0"/>
            </w:tcBorders>
            <w:vAlign w:val="center"/>
          </w:tcPr>
          <w:p w14:paraId="19E0CFE9">
            <w:pPr>
              <w:ind w:left="0"/>
              <w:jc w:val="center"/>
              <w:textAlignment w:val="center"/>
              <w:rPr>
                <w:color w:val="000000"/>
                <w:sz w:val="22"/>
                <w:szCs w:val="22"/>
              </w:rPr>
            </w:pPr>
            <w:r>
              <w:rPr>
                <w:color w:val="000000"/>
                <w:kern w:val="0"/>
                <w:sz w:val="22"/>
                <w:szCs w:val="22"/>
                <w:lang w:bidi="ar"/>
              </w:rPr>
              <w:t>0.15</w:t>
            </w:r>
          </w:p>
        </w:tc>
        <w:tc>
          <w:tcPr>
            <w:tcW w:w="1205" w:type="pct"/>
            <w:tcBorders>
              <w:top w:val="single" w:color="auto" w:sz="4" w:space="0"/>
              <w:left w:val="nil"/>
              <w:bottom w:val="single" w:color="auto" w:sz="4" w:space="0"/>
              <w:right w:val="single" w:color="auto" w:sz="4" w:space="0"/>
            </w:tcBorders>
            <w:vAlign w:val="center"/>
          </w:tcPr>
          <w:p w14:paraId="6094CF78">
            <w:pPr>
              <w:ind w:left="0"/>
              <w:jc w:val="center"/>
              <w:textAlignment w:val="center"/>
              <w:rPr>
                <w:color w:val="000000"/>
                <w:sz w:val="22"/>
                <w:szCs w:val="22"/>
              </w:rPr>
            </w:pPr>
            <w:r>
              <w:rPr>
                <w:color w:val="000000"/>
                <w:kern w:val="0"/>
                <w:sz w:val="22"/>
                <w:szCs w:val="22"/>
                <w:lang w:bidi="ar"/>
              </w:rPr>
              <w:t>0.25</w:t>
            </w:r>
          </w:p>
        </w:tc>
      </w:tr>
      <w:tr w14:paraId="45D509A4">
        <w:tblPrEx>
          <w:tblCellMar>
            <w:top w:w="0" w:type="dxa"/>
            <w:left w:w="108" w:type="dxa"/>
            <w:bottom w:w="0" w:type="dxa"/>
            <w:right w:w="108" w:type="dxa"/>
          </w:tblCellMar>
        </w:tblPrEx>
        <w:trPr>
          <w:trHeight w:val="280" w:hRule="atLeast"/>
          <w:jc w:val="center"/>
        </w:trPr>
        <w:tc>
          <w:tcPr>
            <w:tcW w:w="650" w:type="pct"/>
            <w:tcBorders>
              <w:top w:val="nil"/>
              <w:left w:val="single" w:color="auto" w:sz="4" w:space="0"/>
              <w:bottom w:val="single" w:color="auto" w:sz="4" w:space="0"/>
              <w:right w:val="single" w:color="auto" w:sz="4" w:space="0"/>
            </w:tcBorders>
            <w:vAlign w:val="center"/>
          </w:tcPr>
          <w:p w14:paraId="3024879F">
            <w:pPr>
              <w:ind w:left="0"/>
              <w:jc w:val="center"/>
              <w:rPr>
                <w:rFonts w:cs="宋体"/>
                <w:color w:val="000000"/>
                <w:kern w:val="0"/>
                <w:sz w:val="21"/>
                <w:szCs w:val="21"/>
              </w:rPr>
            </w:pPr>
            <w:r>
              <w:rPr>
                <w:rFonts w:hint="eastAsia" w:cs="宋体"/>
                <w:color w:val="000000"/>
                <w:kern w:val="0"/>
                <w:sz w:val="21"/>
                <w:szCs w:val="21"/>
              </w:rPr>
              <w:t>11</w:t>
            </w:r>
          </w:p>
        </w:tc>
        <w:tc>
          <w:tcPr>
            <w:tcW w:w="977" w:type="pct"/>
            <w:tcBorders>
              <w:top w:val="single" w:color="auto" w:sz="4" w:space="0"/>
              <w:left w:val="nil"/>
              <w:bottom w:val="single" w:color="auto" w:sz="4" w:space="0"/>
              <w:right w:val="single" w:color="auto" w:sz="4" w:space="0"/>
            </w:tcBorders>
            <w:vAlign w:val="center"/>
          </w:tcPr>
          <w:p w14:paraId="0473A4C0">
            <w:pPr>
              <w:ind w:left="0"/>
              <w:jc w:val="center"/>
              <w:textAlignment w:val="center"/>
              <w:rPr>
                <w:color w:val="000000"/>
                <w:sz w:val="22"/>
                <w:szCs w:val="22"/>
              </w:rPr>
            </w:pPr>
            <w:r>
              <w:rPr>
                <w:color w:val="000000"/>
                <w:kern w:val="0"/>
                <w:sz w:val="22"/>
                <w:szCs w:val="22"/>
                <w:lang w:bidi="ar"/>
              </w:rPr>
              <w:t>975.05</w:t>
            </w:r>
          </w:p>
        </w:tc>
        <w:tc>
          <w:tcPr>
            <w:tcW w:w="1159" w:type="pct"/>
            <w:tcBorders>
              <w:top w:val="single" w:color="auto" w:sz="4" w:space="0"/>
              <w:left w:val="nil"/>
              <w:bottom w:val="single" w:color="auto" w:sz="4" w:space="0"/>
              <w:right w:val="single" w:color="auto" w:sz="4" w:space="0"/>
            </w:tcBorders>
            <w:vAlign w:val="center"/>
          </w:tcPr>
          <w:p w14:paraId="6383FFE3">
            <w:pPr>
              <w:ind w:left="0"/>
              <w:jc w:val="center"/>
              <w:textAlignment w:val="center"/>
              <w:rPr>
                <w:color w:val="000000"/>
                <w:sz w:val="22"/>
                <w:szCs w:val="22"/>
              </w:rPr>
            </w:pPr>
            <w:r>
              <w:rPr>
                <w:color w:val="000000"/>
                <w:kern w:val="0"/>
                <w:sz w:val="22"/>
                <w:szCs w:val="22"/>
                <w:lang w:bidi="ar"/>
              </w:rPr>
              <w:t>975.20</w:t>
            </w:r>
          </w:p>
        </w:tc>
        <w:tc>
          <w:tcPr>
            <w:tcW w:w="1006" w:type="pct"/>
            <w:tcBorders>
              <w:top w:val="single" w:color="auto" w:sz="4" w:space="0"/>
              <w:left w:val="nil"/>
              <w:bottom w:val="single" w:color="auto" w:sz="4" w:space="0"/>
              <w:right w:val="single" w:color="auto" w:sz="4" w:space="0"/>
            </w:tcBorders>
            <w:vAlign w:val="center"/>
          </w:tcPr>
          <w:p w14:paraId="59FC92C3">
            <w:pPr>
              <w:ind w:left="0"/>
              <w:jc w:val="center"/>
              <w:textAlignment w:val="center"/>
              <w:rPr>
                <w:color w:val="000000"/>
                <w:sz w:val="22"/>
                <w:szCs w:val="22"/>
              </w:rPr>
            </w:pPr>
            <w:r>
              <w:rPr>
                <w:color w:val="000000"/>
                <w:kern w:val="0"/>
                <w:sz w:val="22"/>
                <w:szCs w:val="22"/>
                <w:lang w:bidi="ar"/>
              </w:rPr>
              <w:t>0.15</w:t>
            </w:r>
          </w:p>
        </w:tc>
        <w:tc>
          <w:tcPr>
            <w:tcW w:w="1205" w:type="pct"/>
            <w:tcBorders>
              <w:top w:val="single" w:color="auto" w:sz="4" w:space="0"/>
              <w:left w:val="nil"/>
              <w:bottom w:val="single" w:color="auto" w:sz="4" w:space="0"/>
              <w:right w:val="single" w:color="auto" w:sz="4" w:space="0"/>
            </w:tcBorders>
            <w:vAlign w:val="center"/>
          </w:tcPr>
          <w:p w14:paraId="499720E0">
            <w:pPr>
              <w:ind w:left="0"/>
              <w:jc w:val="center"/>
              <w:textAlignment w:val="center"/>
              <w:rPr>
                <w:color w:val="000000"/>
                <w:sz w:val="22"/>
                <w:szCs w:val="22"/>
              </w:rPr>
            </w:pPr>
            <w:r>
              <w:rPr>
                <w:color w:val="000000"/>
                <w:kern w:val="0"/>
                <w:sz w:val="22"/>
                <w:szCs w:val="22"/>
                <w:lang w:bidi="ar"/>
              </w:rPr>
              <w:t>0.27</w:t>
            </w:r>
          </w:p>
        </w:tc>
      </w:tr>
    </w:tbl>
    <w:p w14:paraId="18DFB15F">
      <w:pPr>
        <w:ind w:left="0"/>
        <w:rPr>
          <w:bCs/>
        </w:rPr>
      </w:pPr>
    </w:p>
    <w:p w14:paraId="58A4465A">
      <w:pPr>
        <w:ind w:left="0"/>
        <w:rPr>
          <w:bCs/>
        </w:rPr>
      </w:pPr>
    </w:p>
    <w:p w14:paraId="312BD76B">
      <w:pPr>
        <w:ind w:left="0"/>
        <w:rPr>
          <w:bCs/>
        </w:rPr>
      </w:pPr>
    </w:p>
    <w:p w14:paraId="79F3ECD9">
      <w:pPr>
        <w:ind w:left="0"/>
        <w:jc w:val="center"/>
        <w:rPr>
          <w:bCs/>
        </w:rPr>
        <w:sectPr>
          <w:pgSz w:w="11906" w:h="16838"/>
          <w:pgMar w:top="1440" w:right="1134" w:bottom="1440" w:left="1134" w:header="851" w:footer="992" w:gutter="0"/>
          <w:cols w:space="720" w:num="1"/>
          <w:docGrid w:type="linesAndChars" w:linePitch="312" w:charSpace="0"/>
        </w:sectPr>
      </w:pPr>
    </w:p>
    <w:p w14:paraId="1DD23DE4">
      <w:pPr>
        <w:ind w:left="0"/>
        <w:jc w:val="center"/>
        <w:rPr>
          <w:bCs/>
        </w:rPr>
      </w:pPr>
      <w:r>
        <w:rPr>
          <w:rFonts w:hint="eastAsia"/>
          <w:bCs/>
        </w:rPr>
        <w:t>表B.2 不确定度计算汇总表</w:t>
      </w:r>
    </w:p>
    <w:tbl>
      <w:tblPr>
        <w:tblStyle w:val="21"/>
        <w:tblW w:w="4922" w:type="pct"/>
        <w:tblInd w:w="0" w:type="dxa"/>
        <w:tblLayout w:type="autofit"/>
        <w:tblCellMar>
          <w:top w:w="0" w:type="dxa"/>
          <w:left w:w="108" w:type="dxa"/>
          <w:bottom w:w="0" w:type="dxa"/>
          <w:right w:w="108" w:type="dxa"/>
        </w:tblCellMar>
      </w:tblPr>
      <w:tblGrid>
        <w:gridCol w:w="2789"/>
        <w:gridCol w:w="912"/>
        <w:gridCol w:w="436"/>
        <w:gridCol w:w="1205"/>
        <w:gridCol w:w="1205"/>
        <w:gridCol w:w="1208"/>
        <w:gridCol w:w="1141"/>
        <w:gridCol w:w="1206"/>
        <w:gridCol w:w="1206"/>
        <w:gridCol w:w="1206"/>
        <w:gridCol w:w="1226"/>
      </w:tblGrid>
      <w:tr w14:paraId="1843CA27">
        <w:tblPrEx>
          <w:tblCellMar>
            <w:top w:w="0" w:type="dxa"/>
            <w:left w:w="108" w:type="dxa"/>
            <w:bottom w:w="0" w:type="dxa"/>
            <w:right w:w="108" w:type="dxa"/>
          </w:tblCellMar>
        </w:tblPrEx>
        <w:trPr>
          <w:trHeight w:val="440" w:hRule="atLeast"/>
        </w:trPr>
        <w:tc>
          <w:tcPr>
            <w:tcW w:w="1536" w:type="pct"/>
            <w:gridSpan w:val="3"/>
            <w:tcBorders>
              <w:top w:val="single" w:color="auto" w:sz="4" w:space="0"/>
              <w:left w:val="single" w:color="auto" w:sz="4" w:space="0"/>
              <w:bottom w:val="single" w:color="auto" w:sz="4" w:space="0"/>
              <w:right w:val="single" w:color="auto" w:sz="4" w:space="0"/>
            </w:tcBorders>
            <w:noWrap/>
            <w:vAlign w:val="center"/>
          </w:tcPr>
          <w:p w14:paraId="259D0D73">
            <w:pPr>
              <w:ind w:left="0"/>
              <w:jc w:val="center"/>
              <w:rPr>
                <w:rFonts w:hint="eastAsia" w:ascii="宋体" w:hAnsi="宋体" w:cs="宋体"/>
                <w:color w:val="000000"/>
                <w:kern w:val="0"/>
                <w:sz w:val="22"/>
                <w:szCs w:val="22"/>
              </w:rPr>
            </w:pPr>
            <w:r>
              <w:rPr>
                <w:rFonts w:hint="eastAsia" w:ascii="宋体" w:hAnsi="宋体" w:cs="宋体"/>
                <w:color w:val="000000"/>
                <w:kern w:val="0"/>
                <w:sz w:val="22"/>
                <w:szCs w:val="22"/>
              </w:rPr>
              <w:t>不确定度影响分量</w:t>
            </w:r>
          </w:p>
        </w:tc>
        <w:tc>
          <w:tcPr>
            <w:tcW w:w="3463" w:type="pct"/>
            <w:gridSpan w:val="8"/>
            <w:tcBorders>
              <w:top w:val="single" w:color="auto" w:sz="4" w:space="0"/>
              <w:left w:val="nil"/>
              <w:bottom w:val="single" w:color="auto" w:sz="4" w:space="0"/>
              <w:right w:val="single" w:color="auto" w:sz="4" w:space="0"/>
            </w:tcBorders>
            <w:vAlign w:val="center"/>
          </w:tcPr>
          <w:p w14:paraId="1519C268">
            <w:pPr>
              <w:ind w:left="0"/>
              <w:jc w:val="center"/>
              <w:rPr>
                <w:color w:val="000000"/>
                <w:kern w:val="0"/>
                <w:sz w:val="22"/>
                <w:szCs w:val="22"/>
              </w:rPr>
            </w:pPr>
            <w:r>
              <w:rPr>
                <w:rFonts w:hint="eastAsia" w:ascii="宋体" w:hAnsi="宋体"/>
                <w:color w:val="000000"/>
                <w:kern w:val="0"/>
                <w:sz w:val="22"/>
                <w:szCs w:val="22"/>
              </w:rPr>
              <w:t>载荷、显示值、误差、不确定度</w:t>
            </w:r>
            <w:r>
              <w:rPr>
                <w:color w:val="000000"/>
                <w:kern w:val="0"/>
                <w:sz w:val="22"/>
                <w:szCs w:val="22"/>
              </w:rPr>
              <w:t>/</w:t>
            </w:r>
            <w:r>
              <w:rPr>
                <w:rFonts w:hint="eastAsia"/>
                <w:color w:val="000000"/>
                <w:kern w:val="0"/>
                <w:sz w:val="22"/>
                <w:szCs w:val="22"/>
              </w:rPr>
              <w:t>k</w:t>
            </w:r>
            <w:r>
              <w:rPr>
                <w:color w:val="000000"/>
                <w:kern w:val="0"/>
                <w:sz w:val="22"/>
                <w:szCs w:val="22"/>
              </w:rPr>
              <w:t>g</w:t>
            </w:r>
          </w:p>
        </w:tc>
      </w:tr>
      <w:tr w14:paraId="0BD5A795">
        <w:tblPrEx>
          <w:tblCellMar>
            <w:top w:w="0" w:type="dxa"/>
            <w:left w:w="108" w:type="dxa"/>
            <w:bottom w:w="0" w:type="dxa"/>
            <w:right w:w="108" w:type="dxa"/>
          </w:tblCellMar>
        </w:tblPrEx>
        <w:trPr>
          <w:trHeight w:val="442" w:hRule="atLeast"/>
        </w:trPr>
        <w:tc>
          <w:tcPr>
            <w:tcW w:w="1031" w:type="pct"/>
            <w:tcBorders>
              <w:top w:val="nil"/>
              <w:left w:val="single" w:color="auto" w:sz="4" w:space="0"/>
              <w:bottom w:val="single" w:color="auto" w:sz="4" w:space="0"/>
              <w:right w:val="single" w:color="auto" w:sz="4" w:space="0"/>
            </w:tcBorders>
            <w:noWrap/>
            <w:vAlign w:val="center"/>
          </w:tcPr>
          <w:p w14:paraId="7BAF00BF">
            <w:pPr>
              <w:ind w:left="0"/>
              <w:jc w:val="center"/>
              <w:rPr>
                <w:rFonts w:hint="eastAsia" w:ascii="宋体" w:hAnsi="宋体" w:cs="宋体"/>
                <w:color w:val="000000"/>
                <w:kern w:val="0"/>
                <w:sz w:val="22"/>
                <w:szCs w:val="22"/>
              </w:rPr>
            </w:pPr>
            <w:r>
              <w:rPr>
                <w:rFonts w:hint="eastAsia" w:ascii="宋体" w:hAnsi="宋体" w:cs="宋体"/>
                <w:color w:val="000000"/>
                <w:kern w:val="0"/>
                <w:sz w:val="22"/>
                <w:szCs w:val="22"/>
              </w:rPr>
              <w:t>试验载荷</w:t>
            </w:r>
          </w:p>
        </w:tc>
        <w:tc>
          <w:tcPr>
            <w:tcW w:w="348" w:type="pct"/>
            <w:tcBorders>
              <w:top w:val="nil"/>
              <w:left w:val="nil"/>
              <w:bottom w:val="single" w:color="auto" w:sz="4" w:space="0"/>
              <w:right w:val="single" w:color="auto" w:sz="4" w:space="0"/>
            </w:tcBorders>
            <w:noWrap/>
            <w:vAlign w:val="center"/>
          </w:tcPr>
          <w:p w14:paraId="03BCA3A4">
            <w:pPr>
              <w:ind w:left="0"/>
              <w:jc w:val="center"/>
              <w:rPr>
                <w:color w:val="000000"/>
                <w:kern w:val="0"/>
                <w:sz w:val="22"/>
                <w:szCs w:val="22"/>
              </w:rPr>
            </w:pPr>
            <w:r>
              <w:rPr>
                <w:i/>
                <w:iCs/>
                <w:color w:val="000000"/>
                <w:kern w:val="0"/>
                <w:sz w:val="22"/>
                <w:szCs w:val="22"/>
              </w:rPr>
              <w:t>L</w:t>
            </w:r>
          </w:p>
        </w:tc>
        <w:tc>
          <w:tcPr>
            <w:tcW w:w="156" w:type="pct"/>
            <w:tcBorders>
              <w:top w:val="nil"/>
              <w:left w:val="nil"/>
              <w:bottom w:val="single" w:color="auto" w:sz="4" w:space="0"/>
              <w:right w:val="single" w:color="auto" w:sz="4" w:space="0"/>
            </w:tcBorders>
            <w:noWrap/>
            <w:vAlign w:val="center"/>
          </w:tcPr>
          <w:p w14:paraId="76DE6E9E">
            <w:pPr>
              <w:ind w:left="0"/>
              <w:jc w:val="center"/>
              <w:rPr>
                <w:color w:val="000000"/>
                <w:kern w:val="0"/>
                <w:sz w:val="22"/>
                <w:szCs w:val="22"/>
              </w:rPr>
            </w:pPr>
            <w:r>
              <w:rPr>
                <w:color w:val="000000"/>
                <w:kern w:val="0"/>
                <w:sz w:val="22"/>
                <w:szCs w:val="22"/>
              </w:rPr>
              <w:t>kg</w:t>
            </w:r>
          </w:p>
        </w:tc>
        <w:tc>
          <w:tcPr>
            <w:tcW w:w="431" w:type="pct"/>
            <w:tcBorders>
              <w:top w:val="nil"/>
              <w:left w:val="nil"/>
              <w:bottom w:val="single" w:color="auto" w:sz="4" w:space="0"/>
              <w:right w:val="single" w:color="auto" w:sz="4" w:space="0"/>
            </w:tcBorders>
            <w:noWrap/>
            <w:vAlign w:val="center"/>
          </w:tcPr>
          <w:p w14:paraId="4E468B66">
            <w:pPr>
              <w:ind w:left="0"/>
              <w:jc w:val="center"/>
              <w:textAlignment w:val="center"/>
              <w:rPr>
                <w:color w:val="000000"/>
                <w:kern w:val="0"/>
                <w:sz w:val="22"/>
                <w:szCs w:val="22"/>
              </w:rPr>
            </w:pPr>
            <w:r>
              <w:rPr>
                <w:color w:val="000000"/>
                <w:kern w:val="0"/>
                <w:sz w:val="22"/>
                <w:szCs w:val="22"/>
                <w:lang w:bidi="ar"/>
              </w:rPr>
              <w:t>0</w:t>
            </w:r>
          </w:p>
        </w:tc>
        <w:tc>
          <w:tcPr>
            <w:tcW w:w="431" w:type="pct"/>
            <w:tcBorders>
              <w:top w:val="nil"/>
              <w:left w:val="nil"/>
              <w:bottom w:val="single" w:color="auto" w:sz="4" w:space="0"/>
              <w:right w:val="single" w:color="auto" w:sz="4" w:space="0"/>
            </w:tcBorders>
            <w:noWrap/>
            <w:vAlign w:val="center"/>
          </w:tcPr>
          <w:p w14:paraId="035EA665">
            <w:pPr>
              <w:ind w:left="0"/>
              <w:jc w:val="center"/>
              <w:textAlignment w:val="center"/>
              <w:rPr>
                <w:color w:val="000000"/>
                <w:kern w:val="0"/>
                <w:sz w:val="22"/>
                <w:szCs w:val="22"/>
              </w:rPr>
            </w:pPr>
            <w:r>
              <w:rPr>
                <w:color w:val="000000"/>
                <w:kern w:val="0"/>
                <w:sz w:val="22"/>
                <w:szCs w:val="22"/>
                <w:lang w:bidi="ar"/>
              </w:rPr>
              <w:t>75</w:t>
            </w:r>
          </w:p>
        </w:tc>
        <w:tc>
          <w:tcPr>
            <w:tcW w:w="432" w:type="pct"/>
            <w:tcBorders>
              <w:top w:val="nil"/>
              <w:left w:val="nil"/>
              <w:bottom w:val="single" w:color="auto" w:sz="4" w:space="0"/>
              <w:right w:val="single" w:color="auto" w:sz="4" w:space="0"/>
            </w:tcBorders>
            <w:noWrap/>
            <w:vAlign w:val="center"/>
          </w:tcPr>
          <w:p w14:paraId="6122181A">
            <w:pPr>
              <w:ind w:left="0"/>
              <w:jc w:val="center"/>
              <w:textAlignment w:val="center"/>
              <w:rPr>
                <w:color w:val="000000"/>
                <w:kern w:val="0"/>
                <w:sz w:val="22"/>
                <w:szCs w:val="22"/>
              </w:rPr>
            </w:pPr>
            <w:r>
              <w:rPr>
                <w:color w:val="000000"/>
                <w:kern w:val="0"/>
                <w:sz w:val="22"/>
                <w:szCs w:val="22"/>
                <w:lang w:bidi="ar"/>
              </w:rPr>
              <w:t>175.05</w:t>
            </w:r>
          </w:p>
        </w:tc>
        <w:tc>
          <w:tcPr>
            <w:tcW w:w="431" w:type="pct"/>
            <w:tcBorders>
              <w:top w:val="single" w:color="auto" w:sz="4" w:space="0"/>
              <w:left w:val="nil"/>
              <w:bottom w:val="single" w:color="auto" w:sz="4" w:space="0"/>
              <w:right w:val="single" w:color="auto" w:sz="4" w:space="0"/>
            </w:tcBorders>
            <w:vAlign w:val="center"/>
          </w:tcPr>
          <w:p w14:paraId="74038C1D">
            <w:pPr>
              <w:ind w:left="0"/>
              <w:jc w:val="center"/>
              <w:rPr>
                <w:color w:val="000000"/>
                <w:kern w:val="0"/>
                <w:sz w:val="22"/>
                <w:szCs w:val="22"/>
              </w:rPr>
            </w:pPr>
            <w:r>
              <w:rPr>
                <w:color w:val="000000"/>
                <w:kern w:val="0"/>
                <w:sz w:val="22"/>
                <w:szCs w:val="22"/>
              </w:rPr>
              <w:t>······</w:t>
            </w:r>
          </w:p>
        </w:tc>
        <w:tc>
          <w:tcPr>
            <w:tcW w:w="432" w:type="pct"/>
            <w:tcBorders>
              <w:top w:val="single" w:color="auto" w:sz="4" w:space="0"/>
              <w:left w:val="single" w:color="auto" w:sz="4" w:space="0"/>
              <w:bottom w:val="single" w:color="auto" w:sz="4" w:space="0"/>
              <w:right w:val="single" w:color="auto" w:sz="4" w:space="0"/>
            </w:tcBorders>
            <w:noWrap/>
            <w:vAlign w:val="center"/>
          </w:tcPr>
          <w:p w14:paraId="4723193D">
            <w:pPr>
              <w:ind w:left="0"/>
              <w:jc w:val="center"/>
              <w:textAlignment w:val="center"/>
              <w:rPr>
                <w:color w:val="000000"/>
                <w:kern w:val="0"/>
                <w:sz w:val="22"/>
                <w:szCs w:val="22"/>
              </w:rPr>
            </w:pPr>
            <w:r>
              <w:rPr>
                <w:color w:val="000000"/>
                <w:kern w:val="0"/>
                <w:sz w:val="22"/>
                <w:szCs w:val="22"/>
                <w:lang w:bidi="ar"/>
              </w:rPr>
              <w:t>675.2</w:t>
            </w:r>
          </w:p>
        </w:tc>
        <w:tc>
          <w:tcPr>
            <w:tcW w:w="432" w:type="pct"/>
            <w:tcBorders>
              <w:top w:val="nil"/>
              <w:left w:val="nil"/>
              <w:bottom w:val="single" w:color="auto" w:sz="4" w:space="0"/>
              <w:right w:val="single" w:color="auto" w:sz="4" w:space="0"/>
            </w:tcBorders>
            <w:noWrap/>
            <w:vAlign w:val="center"/>
          </w:tcPr>
          <w:p w14:paraId="288C17CC">
            <w:pPr>
              <w:ind w:left="0"/>
              <w:jc w:val="center"/>
              <w:textAlignment w:val="center"/>
              <w:rPr>
                <w:color w:val="000000"/>
                <w:kern w:val="0"/>
                <w:sz w:val="22"/>
                <w:szCs w:val="22"/>
              </w:rPr>
            </w:pPr>
            <w:r>
              <w:rPr>
                <w:color w:val="000000"/>
                <w:kern w:val="0"/>
                <w:sz w:val="22"/>
                <w:szCs w:val="22"/>
                <w:lang w:bidi="ar"/>
              </w:rPr>
              <w:t>775.25</w:t>
            </w:r>
          </w:p>
        </w:tc>
        <w:tc>
          <w:tcPr>
            <w:tcW w:w="432" w:type="pct"/>
            <w:tcBorders>
              <w:top w:val="nil"/>
              <w:left w:val="nil"/>
              <w:bottom w:val="single" w:color="auto" w:sz="4" w:space="0"/>
              <w:right w:val="single" w:color="auto" w:sz="4" w:space="0"/>
            </w:tcBorders>
            <w:noWrap/>
            <w:vAlign w:val="center"/>
          </w:tcPr>
          <w:p w14:paraId="2179B066">
            <w:pPr>
              <w:ind w:left="0"/>
              <w:jc w:val="center"/>
              <w:textAlignment w:val="center"/>
              <w:rPr>
                <w:color w:val="000000"/>
                <w:kern w:val="0"/>
                <w:sz w:val="22"/>
                <w:szCs w:val="22"/>
              </w:rPr>
            </w:pPr>
            <w:r>
              <w:rPr>
                <w:color w:val="000000"/>
                <w:kern w:val="0"/>
                <w:sz w:val="22"/>
                <w:szCs w:val="22"/>
                <w:lang w:bidi="ar"/>
              </w:rPr>
              <w:t>875.55</w:t>
            </w:r>
          </w:p>
        </w:tc>
        <w:tc>
          <w:tcPr>
            <w:tcW w:w="439" w:type="pct"/>
            <w:tcBorders>
              <w:top w:val="nil"/>
              <w:left w:val="nil"/>
              <w:bottom w:val="single" w:color="auto" w:sz="4" w:space="0"/>
              <w:right w:val="single" w:color="auto" w:sz="4" w:space="0"/>
            </w:tcBorders>
            <w:noWrap/>
            <w:vAlign w:val="center"/>
          </w:tcPr>
          <w:p w14:paraId="5470F0E0">
            <w:pPr>
              <w:ind w:left="0"/>
              <w:jc w:val="center"/>
              <w:textAlignment w:val="center"/>
              <w:rPr>
                <w:color w:val="000000"/>
                <w:kern w:val="0"/>
                <w:sz w:val="22"/>
                <w:szCs w:val="22"/>
              </w:rPr>
            </w:pPr>
            <w:r>
              <w:rPr>
                <w:color w:val="000000"/>
                <w:kern w:val="0"/>
                <w:sz w:val="22"/>
                <w:szCs w:val="22"/>
                <w:lang w:bidi="ar"/>
              </w:rPr>
              <w:t>975.05</w:t>
            </w:r>
          </w:p>
        </w:tc>
      </w:tr>
      <w:tr w14:paraId="6E587B4D">
        <w:tblPrEx>
          <w:tblCellMar>
            <w:top w:w="0" w:type="dxa"/>
            <w:left w:w="108" w:type="dxa"/>
            <w:bottom w:w="0" w:type="dxa"/>
            <w:right w:w="108" w:type="dxa"/>
          </w:tblCellMar>
        </w:tblPrEx>
        <w:trPr>
          <w:trHeight w:val="442" w:hRule="atLeast"/>
        </w:trPr>
        <w:tc>
          <w:tcPr>
            <w:tcW w:w="1031" w:type="pct"/>
            <w:tcBorders>
              <w:top w:val="nil"/>
              <w:left w:val="single" w:color="auto" w:sz="4" w:space="0"/>
              <w:bottom w:val="single" w:color="auto" w:sz="4" w:space="0"/>
              <w:right w:val="single" w:color="auto" w:sz="4" w:space="0"/>
            </w:tcBorders>
            <w:noWrap/>
            <w:vAlign w:val="center"/>
          </w:tcPr>
          <w:p w14:paraId="1E8AA951">
            <w:pPr>
              <w:ind w:left="0"/>
              <w:jc w:val="center"/>
              <w:rPr>
                <w:rFonts w:hint="eastAsia" w:ascii="宋体" w:hAnsi="宋体" w:cs="宋体"/>
                <w:color w:val="000000"/>
                <w:kern w:val="0"/>
                <w:sz w:val="22"/>
                <w:szCs w:val="22"/>
              </w:rPr>
            </w:pPr>
            <w:r>
              <w:rPr>
                <w:rFonts w:hint="eastAsia" w:ascii="宋体" w:hAnsi="宋体" w:cs="宋体"/>
                <w:color w:val="000000"/>
                <w:kern w:val="0"/>
                <w:sz w:val="22"/>
                <w:szCs w:val="22"/>
              </w:rPr>
              <w:t>示值</w:t>
            </w:r>
          </w:p>
        </w:tc>
        <w:tc>
          <w:tcPr>
            <w:tcW w:w="348" w:type="pct"/>
            <w:tcBorders>
              <w:top w:val="nil"/>
              <w:left w:val="nil"/>
              <w:bottom w:val="single" w:color="auto" w:sz="4" w:space="0"/>
              <w:right w:val="single" w:color="auto" w:sz="4" w:space="0"/>
            </w:tcBorders>
            <w:noWrap/>
            <w:vAlign w:val="center"/>
          </w:tcPr>
          <w:p w14:paraId="488E4604">
            <w:pPr>
              <w:ind w:left="0"/>
              <w:jc w:val="center"/>
              <w:rPr>
                <w:i/>
                <w:iCs/>
                <w:color w:val="000000"/>
                <w:kern w:val="0"/>
                <w:sz w:val="22"/>
                <w:szCs w:val="22"/>
              </w:rPr>
            </w:pPr>
            <w:r>
              <w:rPr>
                <w:i/>
                <w:iCs/>
                <w:color w:val="000000"/>
                <w:kern w:val="0"/>
                <w:sz w:val="22"/>
                <w:szCs w:val="22"/>
              </w:rPr>
              <w:t>I</w:t>
            </w:r>
          </w:p>
        </w:tc>
        <w:tc>
          <w:tcPr>
            <w:tcW w:w="156" w:type="pct"/>
            <w:tcBorders>
              <w:top w:val="nil"/>
              <w:left w:val="nil"/>
              <w:bottom w:val="single" w:color="auto" w:sz="4" w:space="0"/>
              <w:right w:val="single" w:color="auto" w:sz="4" w:space="0"/>
            </w:tcBorders>
            <w:noWrap/>
            <w:vAlign w:val="center"/>
          </w:tcPr>
          <w:p w14:paraId="1520ED22">
            <w:pPr>
              <w:ind w:left="0"/>
              <w:jc w:val="center"/>
              <w:rPr>
                <w:color w:val="000000"/>
                <w:kern w:val="0"/>
                <w:sz w:val="22"/>
                <w:szCs w:val="22"/>
              </w:rPr>
            </w:pPr>
            <w:r>
              <w:rPr>
                <w:color w:val="000000"/>
                <w:kern w:val="0"/>
                <w:sz w:val="22"/>
                <w:szCs w:val="22"/>
              </w:rPr>
              <w:t>kg</w:t>
            </w:r>
          </w:p>
        </w:tc>
        <w:tc>
          <w:tcPr>
            <w:tcW w:w="431" w:type="pct"/>
            <w:tcBorders>
              <w:top w:val="nil"/>
              <w:left w:val="nil"/>
              <w:bottom w:val="single" w:color="auto" w:sz="4" w:space="0"/>
              <w:right w:val="single" w:color="auto" w:sz="4" w:space="0"/>
            </w:tcBorders>
            <w:noWrap/>
            <w:vAlign w:val="center"/>
          </w:tcPr>
          <w:p w14:paraId="2B35F77C">
            <w:pPr>
              <w:ind w:left="0"/>
              <w:jc w:val="center"/>
              <w:textAlignment w:val="center"/>
              <w:rPr>
                <w:color w:val="000000"/>
                <w:kern w:val="0"/>
                <w:sz w:val="22"/>
                <w:szCs w:val="22"/>
              </w:rPr>
            </w:pPr>
            <w:r>
              <w:rPr>
                <w:color w:val="000000"/>
                <w:kern w:val="0"/>
                <w:sz w:val="22"/>
                <w:szCs w:val="22"/>
                <w:lang w:bidi="ar"/>
              </w:rPr>
              <w:t>0.00</w:t>
            </w:r>
          </w:p>
        </w:tc>
        <w:tc>
          <w:tcPr>
            <w:tcW w:w="431" w:type="pct"/>
            <w:tcBorders>
              <w:top w:val="nil"/>
              <w:left w:val="nil"/>
              <w:bottom w:val="single" w:color="auto" w:sz="4" w:space="0"/>
              <w:right w:val="single" w:color="auto" w:sz="4" w:space="0"/>
            </w:tcBorders>
            <w:noWrap/>
            <w:vAlign w:val="center"/>
          </w:tcPr>
          <w:p w14:paraId="50642A7C">
            <w:pPr>
              <w:ind w:left="0"/>
              <w:jc w:val="center"/>
              <w:textAlignment w:val="center"/>
              <w:rPr>
                <w:color w:val="000000"/>
                <w:kern w:val="0"/>
                <w:sz w:val="22"/>
                <w:szCs w:val="22"/>
              </w:rPr>
            </w:pPr>
            <w:r>
              <w:rPr>
                <w:color w:val="000000"/>
                <w:kern w:val="0"/>
                <w:sz w:val="22"/>
                <w:szCs w:val="22"/>
                <w:lang w:bidi="ar"/>
              </w:rPr>
              <w:t>75.00</w:t>
            </w:r>
          </w:p>
        </w:tc>
        <w:tc>
          <w:tcPr>
            <w:tcW w:w="432" w:type="pct"/>
            <w:tcBorders>
              <w:top w:val="nil"/>
              <w:left w:val="nil"/>
              <w:bottom w:val="single" w:color="auto" w:sz="4" w:space="0"/>
              <w:right w:val="single" w:color="auto" w:sz="4" w:space="0"/>
            </w:tcBorders>
            <w:noWrap/>
            <w:vAlign w:val="center"/>
          </w:tcPr>
          <w:p w14:paraId="2DBEBA1B">
            <w:pPr>
              <w:ind w:left="0"/>
              <w:jc w:val="center"/>
              <w:textAlignment w:val="center"/>
              <w:rPr>
                <w:color w:val="000000"/>
                <w:kern w:val="0"/>
                <w:sz w:val="22"/>
                <w:szCs w:val="22"/>
              </w:rPr>
            </w:pPr>
            <w:r>
              <w:rPr>
                <w:color w:val="000000"/>
                <w:kern w:val="0"/>
                <w:sz w:val="22"/>
                <w:szCs w:val="22"/>
                <w:lang w:bidi="ar"/>
              </w:rPr>
              <w:t>175.05</w:t>
            </w:r>
          </w:p>
        </w:tc>
        <w:tc>
          <w:tcPr>
            <w:tcW w:w="431" w:type="pct"/>
            <w:tcBorders>
              <w:top w:val="single" w:color="auto" w:sz="4" w:space="0"/>
              <w:left w:val="nil"/>
              <w:bottom w:val="single" w:color="auto" w:sz="4" w:space="0"/>
              <w:right w:val="single" w:color="auto" w:sz="4" w:space="0"/>
            </w:tcBorders>
            <w:vAlign w:val="center"/>
          </w:tcPr>
          <w:p w14:paraId="08F6563C">
            <w:pPr>
              <w:ind w:left="0"/>
              <w:jc w:val="center"/>
              <w:rPr>
                <w:color w:val="000000"/>
                <w:kern w:val="0"/>
                <w:sz w:val="22"/>
                <w:szCs w:val="22"/>
              </w:rPr>
            </w:pPr>
            <w:r>
              <w:rPr>
                <w:color w:val="000000"/>
                <w:kern w:val="0"/>
                <w:sz w:val="22"/>
                <w:szCs w:val="22"/>
              </w:rPr>
              <w:t>······</w:t>
            </w:r>
          </w:p>
        </w:tc>
        <w:tc>
          <w:tcPr>
            <w:tcW w:w="432" w:type="pct"/>
            <w:tcBorders>
              <w:top w:val="single" w:color="auto" w:sz="4" w:space="0"/>
              <w:left w:val="single" w:color="auto" w:sz="4" w:space="0"/>
              <w:bottom w:val="single" w:color="auto" w:sz="4" w:space="0"/>
              <w:right w:val="single" w:color="auto" w:sz="4" w:space="0"/>
            </w:tcBorders>
            <w:noWrap/>
            <w:vAlign w:val="center"/>
          </w:tcPr>
          <w:p w14:paraId="6D56E6A7">
            <w:pPr>
              <w:ind w:left="0"/>
              <w:jc w:val="center"/>
              <w:textAlignment w:val="center"/>
              <w:rPr>
                <w:color w:val="000000"/>
                <w:kern w:val="0"/>
                <w:sz w:val="22"/>
                <w:szCs w:val="22"/>
              </w:rPr>
            </w:pPr>
            <w:r>
              <w:rPr>
                <w:color w:val="000000"/>
                <w:kern w:val="0"/>
                <w:sz w:val="22"/>
                <w:szCs w:val="22"/>
                <w:lang w:bidi="ar"/>
              </w:rPr>
              <w:t>675.35</w:t>
            </w:r>
          </w:p>
        </w:tc>
        <w:tc>
          <w:tcPr>
            <w:tcW w:w="432" w:type="pct"/>
            <w:tcBorders>
              <w:top w:val="nil"/>
              <w:left w:val="nil"/>
              <w:bottom w:val="single" w:color="auto" w:sz="4" w:space="0"/>
              <w:right w:val="single" w:color="auto" w:sz="4" w:space="0"/>
            </w:tcBorders>
            <w:noWrap/>
            <w:vAlign w:val="center"/>
          </w:tcPr>
          <w:p w14:paraId="39DB90FA">
            <w:pPr>
              <w:ind w:left="0"/>
              <w:jc w:val="center"/>
              <w:textAlignment w:val="center"/>
              <w:rPr>
                <w:color w:val="000000"/>
                <w:kern w:val="0"/>
                <w:sz w:val="22"/>
                <w:szCs w:val="22"/>
              </w:rPr>
            </w:pPr>
            <w:r>
              <w:rPr>
                <w:color w:val="000000"/>
                <w:kern w:val="0"/>
                <w:sz w:val="22"/>
                <w:szCs w:val="22"/>
                <w:lang w:bidi="ar"/>
              </w:rPr>
              <w:t>775.40</w:t>
            </w:r>
          </w:p>
        </w:tc>
        <w:tc>
          <w:tcPr>
            <w:tcW w:w="432" w:type="pct"/>
            <w:tcBorders>
              <w:top w:val="nil"/>
              <w:left w:val="nil"/>
              <w:bottom w:val="single" w:color="auto" w:sz="4" w:space="0"/>
              <w:right w:val="single" w:color="auto" w:sz="4" w:space="0"/>
            </w:tcBorders>
            <w:noWrap/>
            <w:vAlign w:val="center"/>
          </w:tcPr>
          <w:p w14:paraId="3755877C">
            <w:pPr>
              <w:ind w:left="0"/>
              <w:jc w:val="center"/>
              <w:textAlignment w:val="center"/>
              <w:rPr>
                <w:color w:val="000000"/>
                <w:kern w:val="0"/>
                <w:sz w:val="22"/>
                <w:szCs w:val="22"/>
              </w:rPr>
            </w:pPr>
            <w:r>
              <w:rPr>
                <w:color w:val="000000"/>
                <w:kern w:val="0"/>
                <w:sz w:val="22"/>
                <w:szCs w:val="22"/>
                <w:lang w:bidi="ar"/>
              </w:rPr>
              <w:t>875.70</w:t>
            </w:r>
          </w:p>
        </w:tc>
        <w:tc>
          <w:tcPr>
            <w:tcW w:w="439" w:type="pct"/>
            <w:tcBorders>
              <w:top w:val="nil"/>
              <w:left w:val="nil"/>
              <w:bottom w:val="single" w:color="auto" w:sz="4" w:space="0"/>
              <w:right w:val="single" w:color="auto" w:sz="4" w:space="0"/>
            </w:tcBorders>
            <w:noWrap/>
            <w:vAlign w:val="center"/>
          </w:tcPr>
          <w:p w14:paraId="673B7085">
            <w:pPr>
              <w:ind w:left="0"/>
              <w:jc w:val="center"/>
              <w:textAlignment w:val="center"/>
              <w:rPr>
                <w:color w:val="000000"/>
                <w:kern w:val="0"/>
                <w:sz w:val="22"/>
                <w:szCs w:val="22"/>
              </w:rPr>
            </w:pPr>
            <w:r>
              <w:rPr>
                <w:color w:val="000000"/>
                <w:kern w:val="0"/>
                <w:sz w:val="22"/>
                <w:szCs w:val="22"/>
                <w:lang w:bidi="ar"/>
              </w:rPr>
              <w:t>975.20</w:t>
            </w:r>
          </w:p>
        </w:tc>
      </w:tr>
      <w:tr w14:paraId="6643623E">
        <w:tblPrEx>
          <w:tblCellMar>
            <w:top w:w="0" w:type="dxa"/>
            <w:left w:w="108" w:type="dxa"/>
            <w:bottom w:w="0" w:type="dxa"/>
            <w:right w:w="108" w:type="dxa"/>
          </w:tblCellMar>
        </w:tblPrEx>
        <w:trPr>
          <w:trHeight w:val="442" w:hRule="atLeast"/>
        </w:trPr>
        <w:tc>
          <w:tcPr>
            <w:tcW w:w="1031" w:type="pct"/>
            <w:tcBorders>
              <w:top w:val="nil"/>
              <w:left w:val="single" w:color="auto" w:sz="4" w:space="0"/>
              <w:bottom w:val="single" w:color="auto" w:sz="4" w:space="0"/>
              <w:right w:val="single" w:color="auto" w:sz="4" w:space="0"/>
            </w:tcBorders>
            <w:noWrap/>
            <w:vAlign w:val="center"/>
          </w:tcPr>
          <w:p w14:paraId="537F22C5">
            <w:pPr>
              <w:ind w:left="0"/>
              <w:jc w:val="center"/>
              <w:rPr>
                <w:rFonts w:hint="eastAsia" w:ascii="宋体" w:hAnsi="宋体" w:cs="宋体"/>
                <w:color w:val="000000"/>
                <w:kern w:val="0"/>
                <w:sz w:val="22"/>
                <w:szCs w:val="22"/>
              </w:rPr>
            </w:pPr>
            <w:r>
              <w:rPr>
                <w:rFonts w:hint="eastAsia" w:ascii="宋体" w:hAnsi="宋体" w:cs="宋体"/>
                <w:color w:val="000000"/>
                <w:kern w:val="0"/>
                <w:sz w:val="22"/>
                <w:szCs w:val="22"/>
              </w:rPr>
              <w:t>示值误差</w:t>
            </w:r>
          </w:p>
        </w:tc>
        <w:tc>
          <w:tcPr>
            <w:tcW w:w="348" w:type="pct"/>
            <w:tcBorders>
              <w:top w:val="nil"/>
              <w:left w:val="nil"/>
              <w:bottom w:val="single" w:color="auto" w:sz="4" w:space="0"/>
              <w:right w:val="single" w:color="auto" w:sz="4" w:space="0"/>
            </w:tcBorders>
            <w:noWrap/>
            <w:vAlign w:val="center"/>
          </w:tcPr>
          <w:p w14:paraId="4F65CBB0">
            <w:pPr>
              <w:ind w:left="0"/>
              <w:jc w:val="center"/>
              <w:rPr>
                <w:i/>
                <w:iCs/>
                <w:color w:val="000000"/>
                <w:kern w:val="0"/>
                <w:sz w:val="22"/>
                <w:szCs w:val="22"/>
              </w:rPr>
            </w:pPr>
            <w:r>
              <w:rPr>
                <w:i/>
                <w:iCs/>
                <w:color w:val="000000"/>
                <w:kern w:val="0"/>
                <w:sz w:val="22"/>
                <w:szCs w:val="22"/>
              </w:rPr>
              <w:t>E</w:t>
            </w:r>
          </w:p>
        </w:tc>
        <w:tc>
          <w:tcPr>
            <w:tcW w:w="156" w:type="pct"/>
            <w:tcBorders>
              <w:top w:val="nil"/>
              <w:left w:val="nil"/>
              <w:bottom w:val="single" w:color="auto" w:sz="4" w:space="0"/>
              <w:right w:val="single" w:color="auto" w:sz="4" w:space="0"/>
            </w:tcBorders>
            <w:noWrap/>
            <w:vAlign w:val="center"/>
          </w:tcPr>
          <w:p w14:paraId="0F43FCE7">
            <w:pPr>
              <w:ind w:left="0"/>
              <w:jc w:val="center"/>
              <w:rPr>
                <w:color w:val="000000"/>
                <w:kern w:val="0"/>
                <w:sz w:val="22"/>
                <w:szCs w:val="22"/>
              </w:rPr>
            </w:pPr>
            <w:r>
              <w:rPr>
                <w:color w:val="000000"/>
                <w:kern w:val="0"/>
                <w:sz w:val="22"/>
                <w:szCs w:val="22"/>
              </w:rPr>
              <w:t>kg</w:t>
            </w:r>
          </w:p>
        </w:tc>
        <w:tc>
          <w:tcPr>
            <w:tcW w:w="431" w:type="pct"/>
            <w:tcBorders>
              <w:top w:val="nil"/>
              <w:left w:val="nil"/>
              <w:bottom w:val="single" w:color="auto" w:sz="4" w:space="0"/>
              <w:right w:val="single" w:color="auto" w:sz="4" w:space="0"/>
            </w:tcBorders>
            <w:noWrap/>
            <w:vAlign w:val="center"/>
          </w:tcPr>
          <w:p w14:paraId="3E49D4DA">
            <w:pPr>
              <w:ind w:left="0"/>
              <w:jc w:val="center"/>
              <w:textAlignment w:val="center"/>
              <w:rPr>
                <w:color w:val="000000"/>
                <w:kern w:val="0"/>
                <w:sz w:val="22"/>
                <w:szCs w:val="22"/>
              </w:rPr>
            </w:pPr>
            <w:r>
              <w:rPr>
                <w:color w:val="000000"/>
                <w:kern w:val="0"/>
                <w:sz w:val="22"/>
                <w:szCs w:val="22"/>
                <w:lang w:bidi="ar"/>
              </w:rPr>
              <w:t>0.00</w:t>
            </w:r>
          </w:p>
        </w:tc>
        <w:tc>
          <w:tcPr>
            <w:tcW w:w="431" w:type="pct"/>
            <w:tcBorders>
              <w:top w:val="nil"/>
              <w:left w:val="nil"/>
              <w:bottom w:val="single" w:color="auto" w:sz="4" w:space="0"/>
              <w:right w:val="single" w:color="auto" w:sz="4" w:space="0"/>
            </w:tcBorders>
            <w:noWrap/>
            <w:vAlign w:val="center"/>
          </w:tcPr>
          <w:p w14:paraId="31778C1C">
            <w:pPr>
              <w:ind w:left="0"/>
              <w:jc w:val="center"/>
              <w:textAlignment w:val="center"/>
              <w:rPr>
                <w:color w:val="000000"/>
                <w:kern w:val="0"/>
                <w:sz w:val="22"/>
                <w:szCs w:val="22"/>
              </w:rPr>
            </w:pPr>
            <w:r>
              <w:rPr>
                <w:color w:val="000000"/>
                <w:kern w:val="0"/>
                <w:sz w:val="22"/>
                <w:szCs w:val="22"/>
                <w:lang w:bidi="ar"/>
              </w:rPr>
              <w:t>0.00</w:t>
            </w:r>
          </w:p>
        </w:tc>
        <w:tc>
          <w:tcPr>
            <w:tcW w:w="432" w:type="pct"/>
            <w:tcBorders>
              <w:top w:val="nil"/>
              <w:left w:val="nil"/>
              <w:bottom w:val="single" w:color="auto" w:sz="4" w:space="0"/>
              <w:right w:val="single" w:color="auto" w:sz="4" w:space="0"/>
            </w:tcBorders>
            <w:noWrap/>
            <w:vAlign w:val="center"/>
          </w:tcPr>
          <w:p w14:paraId="5246CAA3">
            <w:pPr>
              <w:ind w:left="0"/>
              <w:jc w:val="center"/>
              <w:textAlignment w:val="center"/>
              <w:rPr>
                <w:color w:val="000000"/>
                <w:kern w:val="0"/>
                <w:sz w:val="22"/>
                <w:szCs w:val="22"/>
              </w:rPr>
            </w:pPr>
            <w:r>
              <w:rPr>
                <w:color w:val="000000"/>
                <w:kern w:val="0"/>
                <w:sz w:val="22"/>
                <w:szCs w:val="22"/>
                <w:lang w:bidi="ar"/>
              </w:rPr>
              <w:t>0.00</w:t>
            </w:r>
          </w:p>
        </w:tc>
        <w:tc>
          <w:tcPr>
            <w:tcW w:w="431" w:type="pct"/>
            <w:tcBorders>
              <w:top w:val="single" w:color="auto" w:sz="4" w:space="0"/>
              <w:left w:val="nil"/>
              <w:bottom w:val="single" w:color="auto" w:sz="4" w:space="0"/>
              <w:right w:val="single" w:color="auto" w:sz="4" w:space="0"/>
            </w:tcBorders>
            <w:vAlign w:val="center"/>
          </w:tcPr>
          <w:p w14:paraId="00D8BF76">
            <w:pPr>
              <w:ind w:left="0"/>
              <w:jc w:val="center"/>
              <w:rPr>
                <w:color w:val="000000"/>
                <w:kern w:val="0"/>
                <w:sz w:val="22"/>
                <w:szCs w:val="22"/>
              </w:rPr>
            </w:pPr>
            <w:r>
              <w:rPr>
                <w:color w:val="000000"/>
                <w:kern w:val="0"/>
                <w:sz w:val="22"/>
                <w:szCs w:val="22"/>
              </w:rPr>
              <w:t>······</w:t>
            </w:r>
          </w:p>
        </w:tc>
        <w:tc>
          <w:tcPr>
            <w:tcW w:w="432" w:type="pct"/>
            <w:tcBorders>
              <w:top w:val="single" w:color="auto" w:sz="4" w:space="0"/>
              <w:left w:val="single" w:color="auto" w:sz="4" w:space="0"/>
              <w:bottom w:val="single" w:color="auto" w:sz="4" w:space="0"/>
              <w:right w:val="single" w:color="auto" w:sz="4" w:space="0"/>
            </w:tcBorders>
            <w:noWrap/>
            <w:vAlign w:val="center"/>
          </w:tcPr>
          <w:p w14:paraId="1635C918">
            <w:pPr>
              <w:ind w:left="0"/>
              <w:jc w:val="center"/>
              <w:textAlignment w:val="center"/>
              <w:rPr>
                <w:color w:val="000000"/>
                <w:kern w:val="0"/>
                <w:sz w:val="22"/>
                <w:szCs w:val="22"/>
              </w:rPr>
            </w:pPr>
            <w:r>
              <w:rPr>
                <w:color w:val="000000"/>
                <w:kern w:val="0"/>
                <w:sz w:val="22"/>
                <w:szCs w:val="22"/>
                <w:lang w:bidi="ar"/>
              </w:rPr>
              <w:t>0.15</w:t>
            </w:r>
          </w:p>
        </w:tc>
        <w:tc>
          <w:tcPr>
            <w:tcW w:w="432" w:type="pct"/>
            <w:tcBorders>
              <w:top w:val="nil"/>
              <w:left w:val="nil"/>
              <w:bottom w:val="single" w:color="auto" w:sz="4" w:space="0"/>
              <w:right w:val="single" w:color="auto" w:sz="4" w:space="0"/>
            </w:tcBorders>
            <w:noWrap/>
            <w:vAlign w:val="center"/>
          </w:tcPr>
          <w:p w14:paraId="28704C2D">
            <w:pPr>
              <w:ind w:left="0"/>
              <w:jc w:val="center"/>
              <w:textAlignment w:val="center"/>
              <w:rPr>
                <w:color w:val="000000"/>
                <w:kern w:val="0"/>
                <w:sz w:val="22"/>
                <w:szCs w:val="22"/>
              </w:rPr>
            </w:pPr>
            <w:r>
              <w:rPr>
                <w:color w:val="000000"/>
                <w:kern w:val="0"/>
                <w:sz w:val="22"/>
                <w:szCs w:val="22"/>
                <w:lang w:bidi="ar"/>
              </w:rPr>
              <w:t>0.15</w:t>
            </w:r>
          </w:p>
        </w:tc>
        <w:tc>
          <w:tcPr>
            <w:tcW w:w="432" w:type="pct"/>
            <w:tcBorders>
              <w:top w:val="nil"/>
              <w:left w:val="nil"/>
              <w:bottom w:val="single" w:color="auto" w:sz="4" w:space="0"/>
              <w:right w:val="single" w:color="auto" w:sz="4" w:space="0"/>
            </w:tcBorders>
            <w:noWrap/>
            <w:vAlign w:val="center"/>
          </w:tcPr>
          <w:p w14:paraId="77273100">
            <w:pPr>
              <w:ind w:left="0"/>
              <w:jc w:val="center"/>
              <w:textAlignment w:val="center"/>
              <w:rPr>
                <w:color w:val="000000"/>
                <w:kern w:val="0"/>
                <w:sz w:val="22"/>
                <w:szCs w:val="22"/>
              </w:rPr>
            </w:pPr>
            <w:r>
              <w:rPr>
                <w:color w:val="000000"/>
                <w:kern w:val="0"/>
                <w:sz w:val="22"/>
                <w:szCs w:val="22"/>
                <w:lang w:bidi="ar"/>
              </w:rPr>
              <w:t>0.15</w:t>
            </w:r>
          </w:p>
        </w:tc>
        <w:tc>
          <w:tcPr>
            <w:tcW w:w="439" w:type="pct"/>
            <w:tcBorders>
              <w:top w:val="nil"/>
              <w:left w:val="nil"/>
              <w:bottom w:val="single" w:color="auto" w:sz="4" w:space="0"/>
              <w:right w:val="single" w:color="auto" w:sz="4" w:space="0"/>
            </w:tcBorders>
            <w:noWrap/>
            <w:vAlign w:val="center"/>
          </w:tcPr>
          <w:p w14:paraId="358FBC9B">
            <w:pPr>
              <w:ind w:left="0"/>
              <w:jc w:val="center"/>
              <w:textAlignment w:val="center"/>
              <w:rPr>
                <w:color w:val="000000"/>
                <w:kern w:val="0"/>
                <w:sz w:val="22"/>
                <w:szCs w:val="22"/>
              </w:rPr>
            </w:pPr>
            <w:r>
              <w:rPr>
                <w:color w:val="000000"/>
                <w:kern w:val="0"/>
                <w:sz w:val="22"/>
                <w:szCs w:val="22"/>
                <w:lang w:bidi="ar"/>
              </w:rPr>
              <w:t>0.15</w:t>
            </w:r>
          </w:p>
        </w:tc>
      </w:tr>
      <w:tr w14:paraId="6F5B3190">
        <w:tblPrEx>
          <w:tblCellMar>
            <w:top w:w="0" w:type="dxa"/>
            <w:left w:w="108" w:type="dxa"/>
            <w:bottom w:w="0" w:type="dxa"/>
            <w:right w:w="108" w:type="dxa"/>
          </w:tblCellMar>
        </w:tblPrEx>
        <w:trPr>
          <w:trHeight w:val="442" w:hRule="atLeast"/>
        </w:trPr>
        <w:tc>
          <w:tcPr>
            <w:tcW w:w="1031" w:type="pct"/>
            <w:tcBorders>
              <w:top w:val="nil"/>
              <w:left w:val="single" w:color="auto" w:sz="4" w:space="0"/>
              <w:bottom w:val="single" w:color="auto" w:sz="4" w:space="0"/>
              <w:right w:val="single" w:color="auto" w:sz="4" w:space="0"/>
            </w:tcBorders>
            <w:noWrap/>
            <w:vAlign w:val="center"/>
          </w:tcPr>
          <w:p w14:paraId="421CDFDB">
            <w:pPr>
              <w:ind w:left="0"/>
              <w:jc w:val="center"/>
              <w:rPr>
                <w:rFonts w:hint="eastAsia" w:ascii="宋体" w:hAnsi="宋体" w:cs="宋体"/>
                <w:color w:val="000000"/>
                <w:kern w:val="0"/>
                <w:sz w:val="22"/>
                <w:szCs w:val="22"/>
              </w:rPr>
            </w:pPr>
            <w:r>
              <w:rPr>
                <w:rFonts w:hint="eastAsia" w:ascii="宋体" w:hAnsi="宋体" w:cs="宋体"/>
                <w:color w:val="000000"/>
                <w:kern w:val="0"/>
                <w:sz w:val="22"/>
                <w:szCs w:val="22"/>
              </w:rPr>
              <w:t>分辨力引入</w:t>
            </w:r>
          </w:p>
        </w:tc>
        <w:tc>
          <w:tcPr>
            <w:tcW w:w="348" w:type="pct"/>
            <w:tcBorders>
              <w:top w:val="nil"/>
              <w:left w:val="nil"/>
              <w:bottom w:val="single" w:color="auto" w:sz="4" w:space="0"/>
              <w:right w:val="single" w:color="auto" w:sz="4" w:space="0"/>
            </w:tcBorders>
            <w:noWrap/>
            <w:vAlign w:val="center"/>
          </w:tcPr>
          <w:p w14:paraId="68C4ADA5">
            <w:pPr>
              <w:ind w:left="0"/>
              <w:jc w:val="center"/>
              <w:rPr>
                <w:i/>
                <w:iCs/>
                <w:color w:val="000000"/>
                <w:kern w:val="0"/>
                <w:sz w:val="22"/>
                <w:szCs w:val="22"/>
              </w:rPr>
            </w:pPr>
            <w:r>
              <w:rPr>
                <w:color w:val="000000"/>
                <w:kern w:val="0"/>
                <w:sz w:val="22"/>
                <w:szCs w:val="22"/>
              </w:rPr>
              <w:drawing>
                <wp:anchor distT="0" distB="0" distL="114300" distR="114300" simplePos="0" relativeHeight="251692032" behindDoc="0" locked="0" layoutInCell="1" allowOverlap="1">
                  <wp:simplePos x="0" y="0"/>
                  <wp:positionH relativeFrom="column">
                    <wp:posOffset>-13335</wp:posOffset>
                  </wp:positionH>
                  <wp:positionV relativeFrom="paragraph">
                    <wp:posOffset>902335</wp:posOffset>
                  </wp:positionV>
                  <wp:extent cx="565150" cy="228600"/>
                  <wp:effectExtent l="0" t="0" r="6350" b="0"/>
                  <wp:wrapNone/>
                  <wp:docPr id="26"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11"/>
                          <pic:cNvPicPr>
                            <a:picLocks noChangeAspect="1" noChangeArrowheads="1"/>
                          </pic:cNvPicPr>
                        </pic:nvPicPr>
                        <pic:blipFill>
                          <a:blip r:embed="rId88">
                            <a:extLst>
                              <a:ext uri="{28A0092B-C50C-407E-A947-70E740481C1C}">
                                <a14:useLocalDpi xmlns:a14="http://schemas.microsoft.com/office/drawing/2010/main" val="0"/>
                              </a:ext>
                            </a:extLst>
                          </a:blip>
                          <a:srcRect/>
                          <a:stretch>
                            <a:fillRect/>
                          </a:stretch>
                        </pic:blipFill>
                        <pic:spPr>
                          <a:xfrm>
                            <a:off x="0" y="0"/>
                            <a:ext cx="565150" cy="228600"/>
                          </a:xfrm>
                          <a:prstGeom prst="rect">
                            <a:avLst/>
                          </a:prstGeom>
                          <a:noFill/>
                          <a:ln>
                            <a:noFill/>
                          </a:ln>
                        </pic:spPr>
                      </pic:pic>
                    </a:graphicData>
                  </a:graphic>
                </wp:anchor>
              </w:drawing>
            </w:r>
            <w:r>
              <w:rPr>
                <w:i/>
                <w:iCs/>
                <w:color w:val="000000"/>
                <w:kern w:val="0"/>
                <w:sz w:val="22"/>
                <w:szCs w:val="22"/>
              </w:rPr>
              <w:drawing>
                <wp:anchor distT="0" distB="0" distL="114300" distR="114300" simplePos="0" relativeHeight="251693056" behindDoc="0" locked="0" layoutInCell="1" allowOverlap="1">
                  <wp:simplePos x="0" y="0"/>
                  <wp:positionH relativeFrom="column">
                    <wp:posOffset>-5715</wp:posOffset>
                  </wp:positionH>
                  <wp:positionV relativeFrom="paragraph">
                    <wp:posOffset>81915</wp:posOffset>
                  </wp:positionV>
                  <wp:extent cx="400050" cy="209550"/>
                  <wp:effectExtent l="0" t="0" r="0" b="0"/>
                  <wp:wrapNone/>
                  <wp:docPr id="3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6"/>
                          <pic:cNvPicPr>
                            <a:picLocks noChangeAspect="1" noChangeArrowheads="1"/>
                          </pic:cNvPicPr>
                        </pic:nvPicPr>
                        <pic:blipFill>
                          <a:blip r:embed="rId93">
                            <a:extLst>
                              <a:ext uri="{28A0092B-C50C-407E-A947-70E740481C1C}">
                                <a14:useLocalDpi xmlns:a14="http://schemas.microsoft.com/office/drawing/2010/main" val="0"/>
                              </a:ext>
                            </a:extLst>
                          </a:blip>
                          <a:srcRect/>
                          <a:stretch>
                            <a:fillRect/>
                          </a:stretch>
                        </pic:blipFill>
                        <pic:spPr>
                          <a:xfrm>
                            <a:off x="0" y="0"/>
                            <a:ext cx="400050" cy="209550"/>
                          </a:xfrm>
                          <a:prstGeom prst="rect">
                            <a:avLst/>
                          </a:prstGeom>
                          <a:noFill/>
                          <a:ln>
                            <a:noFill/>
                          </a:ln>
                        </pic:spPr>
                      </pic:pic>
                    </a:graphicData>
                  </a:graphic>
                </wp:anchor>
              </w:drawing>
            </w:r>
            <w:r>
              <w:rPr>
                <w:color w:val="000000"/>
                <w:kern w:val="0"/>
                <w:sz w:val="22"/>
                <w:szCs w:val="22"/>
              </w:rPr>
              <w:drawing>
                <wp:anchor distT="0" distB="0" distL="114300" distR="114300" simplePos="0" relativeHeight="251694080" behindDoc="0" locked="0" layoutInCell="1" allowOverlap="1">
                  <wp:simplePos x="0" y="0"/>
                  <wp:positionH relativeFrom="column">
                    <wp:posOffset>-26035</wp:posOffset>
                  </wp:positionH>
                  <wp:positionV relativeFrom="paragraph">
                    <wp:posOffset>343535</wp:posOffset>
                  </wp:positionV>
                  <wp:extent cx="527050" cy="241300"/>
                  <wp:effectExtent l="0" t="0" r="6350" b="5080"/>
                  <wp:wrapNone/>
                  <wp:docPr id="3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5"/>
                          <pic:cNvPicPr>
                            <a:picLocks noChangeAspect="1" noChangeArrowheads="1"/>
                          </pic:cNvPicPr>
                        </pic:nvPicPr>
                        <pic:blipFill>
                          <a:blip r:embed="rId94">
                            <a:extLst>
                              <a:ext uri="{28A0092B-C50C-407E-A947-70E740481C1C}">
                                <a14:useLocalDpi xmlns:a14="http://schemas.microsoft.com/office/drawing/2010/main" val="0"/>
                              </a:ext>
                            </a:extLst>
                          </a:blip>
                          <a:srcRect/>
                          <a:stretch>
                            <a:fillRect/>
                          </a:stretch>
                        </pic:blipFill>
                        <pic:spPr>
                          <a:xfrm>
                            <a:off x="0" y="0"/>
                            <a:ext cx="527050" cy="241300"/>
                          </a:xfrm>
                          <a:prstGeom prst="rect">
                            <a:avLst/>
                          </a:prstGeom>
                          <a:noFill/>
                          <a:ln>
                            <a:noFill/>
                          </a:ln>
                        </pic:spPr>
                      </pic:pic>
                    </a:graphicData>
                  </a:graphic>
                </wp:anchor>
              </w:drawing>
            </w:r>
            <w:r>
              <w:rPr>
                <w:color w:val="000000"/>
                <w:kern w:val="0"/>
                <w:sz w:val="22"/>
                <w:szCs w:val="22"/>
              </w:rPr>
              <w:drawing>
                <wp:anchor distT="0" distB="0" distL="114300" distR="114300" simplePos="0" relativeHeight="251688960" behindDoc="0" locked="0" layoutInCell="1" allowOverlap="1">
                  <wp:simplePos x="0" y="0"/>
                  <wp:positionH relativeFrom="column">
                    <wp:posOffset>-19685</wp:posOffset>
                  </wp:positionH>
                  <wp:positionV relativeFrom="paragraph">
                    <wp:posOffset>635635</wp:posOffset>
                  </wp:positionV>
                  <wp:extent cx="527050" cy="228600"/>
                  <wp:effectExtent l="0" t="0" r="6350" b="0"/>
                  <wp:wrapNone/>
                  <wp:docPr id="3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4"/>
                          <pic:cNvPicPr>
                            <a:picLocks noChangeAspect="1" noChangeArrowheads="1"/>
                          </pic:cNvPicPr>
                        </pic:nvPicPr>
                        <pic:blipFill>
                          <a:blip r:embed="rId95">
                            <a:extLst>
                              <a:ext uri="{28A0092B-C50C-407E-A947-70E740481C1C}">
                                <a14:useLocalDpi xmlns:a14="http://schemas.microsoft.com/office/drawing/2010/main" val="0"/>
                              </a:ext>
                            </a:extLst>
                          </a:blip>
                          <a:srcRect/>
                          <a:stretch>
                            <a:fillRect/>
                          </a:stretch>
                        </pic:blipFill>
                        <pic:spPr>
                          <a:xfrm>
                            <a:off x="0" y="0"/>
                            <a:ext cx="527050" cy="228600"/>
                          </a:xfrm>
                          <a:prstGeom prst="rect">
                            <a:avLst/>
                          </a:prstGeom>
                          <a:noFill/>
                          <a:ln>
                            <a:noFill/>
                          </a:ln>
                        </pic:spPr>
                      </pic:pic>
                    </a:graphicData>
                  </a:graphic>
                </wp:anchor>
              </w:drawing>
            </w:r>
          </w:p>
        </w:tc>
        <w:tc>
          <w:tcPr>
            <w:tcW w:w="156" w:type="pct"/>
            <w:tcBorders>
              <w:top w:val="nil"/>
              <w:left w:val="nil"/>
              <w:bottom w:val="single" w:color="auto" w:sz="4" w:space="0"/>
              <w:right w:val="single" w:color="auto" w:sz="4" w:space="0"/>
            </w:tcBorders>
            <w:noWrap/>
            <w:vAlign w:val="center"/>
          </w:tcPr>
          <w:p w14:paraId="5C469205">
            <w:pPr>
              <w:ind w:left="0"/>
              <w:jc w:val="center"/>
              <w:rPr>
                <w:color w:val="000000"/>
                <w:kern w:val="0"/>
                <w:sz w:val="22"/>
                <w:szCs w:val="22"/>
              </w:rPr>
            </w:pPr>
            <w:r>
              <w:rPr>
                <w:color w:val="000000"/>
                <w:kern w:val="0"/>
                <w:sz w:val="22"/>
                <w:szCs w:val="22"/>
              </w:rPr>
              <w:t>kg</w:t>
            </w:r>
          </w:p>
        </w:tc>
        <w:tc>
          <w:tcPr>
            <w:tcW w:w="3463" w:type="pct"/>
            <w:gridSpan w:val="8"/>
            <w:tcBorders>
              <w:top w:val="single" w:color="auto" w:sz="4" w:space="0"/>
              <w:left w:val="nil"/>
              <w:bottom w:val="single" w:color="auto" w:sz="4" w:space="0"/>
              <w:right w:val="single" w:color="auto" w:sz="4" w:space="0"/>
            </w:tcBorders>
            <w:vAlign w:val="center"/>
          </w:tcPr>
          <w:p w14:paraId="1A5CA60E">
            <w:pPr>
              <w:ind w:left="0"/>
              <w:jc w:val="center"/>
              <w:rPr>
                <w:color w:val="000000"/>
                <w:kern w:val="0"/>
                <w:sz w:val="22"/>
                <w:szCs w:val="22"/>
              </w:rPr>
            </w:pPr>
            <w:r>
              <w:rPr>
                <w:color w:val="000000"/>
                <w:kern w:val="0"/>
                <w:sz w:val="22"/>
                <w:szCs w:val="22"/>
              </w:rPr>
              <w:t>0.014</w:t>
            </w:r>
          </w:p>
        </w:tc>
      </w:tr>
      <w:tr w14:paraId="5003D8CC">
        <w:tblPrEx>
          <w:tblCellMar>
            <w:top w:w="0" w:type="dxa"/>
            <w:left w:w="108" w:type="dxa"/>
            <w:bottom w:w="0" w:type="dxa"/>
            <w:right w:w="108" w:type="dxa"/>
          </w:tblCellMar>
        </w:tblPrEx>
        <w:trPr>
          <w:trHeight w:val="442" w:hRule="atLeast"/>
        </w:trPr>
        <w:tc>
          <w:tcPr>
            <w:tcW w:w="1031" w:type="pct"/>
            <w:tcBorders>
              <w:top w:val="nil"/>
              <w:left w:val="single" w:color="auto" w:sz="4" w:space="0"/>
              <w:bottom w:val="single" w:color="auto" w:sz="4" w:space="0"/>
              <w:right w:val="single" w:color="auto" w:sz="4" w:space="0"/>
            </w:tcBorders>
            <w:noWrap/>
            <w:vAlign w:val="center"/>
          </w:tcPr>
          <w:p w14:paraId="18895049">
            <w:pPr>
              <w:ind w:left="0"/>
              <w:jc w:val="center"/>
              <w:rPr>
                <w:rFonts w:hint="eastAsia" w:ascii="宋体" w:hAnsi="宋体" w:cs="宋体"/>
                <w:color w:val="000000"/>
                <w:kern w:val="0"/>
                <w:sz w:val="22"/>
                <w:szCs w:val="22"/>
              </w:rPr>
            </w:pPr>
            <w:r>
              <w:rPr>
                <w:rFonts w:hint="eastAsia" w:ascii="宋体" w:hAnsi="宋体" w:cs="宋体"/>
                <w:color w:val="000000"/>
                <w:kern w:val="0"/>
                <w:sz w:val="22"/>
                <w:szCs w:val="22"/>
              </w:rPr>
              <w:t>重复性</w:t>
            </w:r>
          </w:p>
        </w:tc>
        <w:tc>
          <w:tcPr>
            <w:tcW w:w="348" w:type="pct"/>
            <w:tcBorders>
              <w:top w:val="nil"/>
              <w:left w:val="nil"/>
              <w:bottom w:val="single" w:color="auto" w:sz="4" w:space="0"/>
              <w:right w:val="single" w:color="auto" w:sz="4" w:space="0"/>
            </w:tcBorders>
            <w:noWrap/>
            <w:vAlign w:val="center"/>
          </w:tcPr>
          <w:p w14:paraId="66D9B471">
            <w:pPr>
              <w:ind w:left="0"/>
              <w:jc w:val="center"/>
              <w:rPr>
                <w:color w:val="000000"/>
                <w:kern w:val="0"/>
                <w:sz w:val="22"/>
                <w:szCs w:val="22"/>
              </w:rPr>
            </w:pPr>
          </w:p>
        </w:tc>
        <w:tc>
          <w:tcPr>
            <w:tcW w:w="156" w:type="pct"/>
            <w:tcBorders>
              <w:top w:val="nil"/>
              <w:left w:val="nil"/>
              <w:bottom w:val="single" w:color="auto" w:sz="4" w:space="0"/>
              <w:right w:val="single" w:color="auto" w:sz="4" w:space="0"/>
            </w:tcBorders>
            <w:noWrap/>
            <w:vAlign w:val="center"/>
          </w:tcPr>
          <w:p w14:paraId="48EC4E88">
            <w:pPr>
              <w:ind w:left="0"/>
              <w:jc w:val="center"/>
              <w:rPr>
                <w:color w:val="000000"/>
                <w:kern w:val="0"/>
                <w:sz w:val="22"/>
                <w:szCs w:val="22"/>
              </w:rPr>
            </w:pPr>
            <w:r>
              <w:rPr>
                <w:color w:val="000000"/>
                <w:kern w:val="0"/>
                <w:sz w:val="22"/>
                <w:szCs w:val="22"/>
              </w:rPr>
              <w:t>kg</w:t>
            </w:r>
          </w:p>
        </w:tc>
        <w:tc>
          <w:tcPr>
            <w:tcW w:w="3463" w:type="pct"/>
            <w:gridSpan w:val="8"/>
            <w:tcBorders>
              <w:top w:val="single" w:color="auto" w:sz="4" w:space="0"/>
              <w:left w:val="nil"/>
              <w:bottom w:val="single" w:color="auto" w:sz="4" w:space="0"/>
              <w:right w:val="single" w:color="auto" w:sz="4" w:space="0"/>
            </w:tcBorders>
            <w:vAlign w:val="center"/>
          </w:tcPr>
          <w:p w14:paraId="2C8D9E6F">
            <w:pPr>
              <w:ind w:left="0"/>
              <w:jc w:val="center"/>
              <w:rPr>
                <w:color w:val="000000"/>
                <w:kern w:val="0"/>
                <w:sz w:val="22"/>
                <w:szCs w:val="22"/>
              </w:rPr>
            </w:pPr>
            <w:r>
              <w:rPr>
                <w:color w:val="000000"/>
                <w:kern w:val="0"/>
                <w:sz w:val="22"/>
                <w:szCs w:val="22"/>
              </w:rPr>
              <w:t>0.0</w:t>
            </w:r>
            <w:r>
              <w:rPr>
                <w:rFonts w:hint="eastAsia"/>
                <w:color w:val="000000"/>
                <w:kern w:val="0"/>
                <w:sz w:val="22"/>
                <w:szCs w:val="22"/>
              </w:rPr>
              <w:t>59</w:t>
            </w:r>
          </w:p>
        </w:tc>
      </w:tr>
      <w:tr w14:paraId="713BA40B">
        <w:tblPrEx>
          <w:tblCellMar>
            <w:top w:w="0" w:type="dxa"/>
            <w:left w:w="108" w:type="dxa"/>
            <w:bottom w:w="0" w:type="dxa"/>
            <w:right w:w="108" w:type="dxa"/>
          </w:tblCellMar>
        </w:tblPrEx>
        <w:trPr>
          <w:trHeight w:val="442" w:hRule="atLeast"/>
        </w:trPr>
        <w:tc>
          <w:tcPr>
            <w:tcW w:w="1031" w:type="pct"/>
            <w:tcBorders>
              <w:top w:val="nil"/>
              <w:left w:val="single" w:color="auto" w:sz="4" w:space="0"/>
              <w:bottom w:val="single" w:color="auto" w:sz="4" w:space="0"/>
              <w:right w:val="single" w:color="auto" w:sz="4" w:space="0"/>
            </w:tcBorders>
            <w:noWrap/>
            <w:vAlign w:val="center"/>
          </w:tcPr>
          <w:p w14:paraId="3EA0E719">
            <w:pPr>
              <w:ind w:left="0"/>
              <w:jc w:val="center"/>
              <w:rPr>
                <w:rFonts w:hint="eastAsia" w:ascii="宋体" w:hAnsi="宋体" w:cs="宋体"/>
                <w:color w:val="000000"/>
                <w:kern w:val="0"/>
                <w:sz w:val="22"/>
                <w:szCs w:val="22"/>
              </w:rPr>
            </w:pPr>
            <w:r>
              <w:rPr>
                <w:rFonts w:hint="eastAsia" w:ascii="宋体" w:hAnsi="宋体" w:cs="宋体"/>
                <w:color w:val="000000"/>
                <w:kern w:val="0"/>
                <w:sz w:val="22"/>
                <w:szCs w:val="22"/>
              </w:rPr>
              <w:t>载荷在不同位置误差</w:t>
            </w:r>
          </w:p>
        </w:tc>
        <w:tc>
          <w:tcPr>
            <w:tcW w:w="348" w:type="pct"/>
            <w:tcBorders>
              <w:top w:val="nil"/>
              <w:left w:val="nil"/>
              <w:bottom w:val="single" w:color="auto" w:sz="4" w:space="0"/>
              <w:right w:val="single" w:color="auto" w:sz="4" w:space="0"/>
            </w:tcBorders>
            <w:noWrap/>
            <w:vAlign w:val="center"/>
          </w:tcPr>
          <w:p w14:paraId="3DCE6D85">
            <w:pPr>
              <w:ind w:left="0"/>
              <w:jc w:val="center"/>
              <w:rPr>
                <w:color w:val="000000"/>
                <w:kern w:val="0"/>
                <w:sz w:val="22"/>
                <w:szCs w:val="22"/>
              </w:rPr>
            </w:pPr>
          </w:p>
        </w:tc>
        <w:tc>
          <w:tcPr>
            <w:tcW w:w="156" w:type="pct"/>
            <w:tcBorders>
              <w:top w:val="nil"/>
              <w:left w:val="nil"/>
              <w:bottom w:val="single" w:color="auto" w:sz="4" w:space="0"/>
              <w:right w:val="single" w:color="auto" w:sz="4" w:space="0"/>
            </w:tcBorders>
            <w:noWrap/>
            <w:vAlign w:val="center"/>
          </w:tcPr>
          <w:p w14:paraId="334C4D13">
            <w:pPr>
              <w:ind w:left="0"/>
              <w:jc w:val="center"/>
              <w:rPr>
                <w:color w:val="000000"/>
                <w:kern w:val="0"/>
                <w:sz w:val="22"/>
                <w:szCs w:val="22"/>
              </w:rPr>
            </w:pPr>
            <w:r>
              <w:rPr>
                <w:color w:val="000000"/>
                <w:kern w:val="0"/>
                <w:sz w:val="22"/>
                <w:szCs w:val="22"/>
              </w:rPr>
              <w:t>kg</w:t>
            </w:r>
          </w:p>
        </w:tc>
        <w:tc>
          <w:tcPr>
            <w:tcW w:w="1205" w:type="dxa"/>
            <w:tcBorders>
              <w:top w:val="nil"/>
              <w:left w:val="nil"/>
              <w:bottom w:val="single" w:color="auto" w:sz="4" w:space="0"/>
              <w:right w:val="single" w:color="auto" w:sz="4" w:space="0"/>
            </w:tcBorders>
            <w:noWrap/>
            <w:vAlign w:val="center"/>
          </w:tcPr>
          <w:p w14:paraId="1135AFDE">
            <w:pPr>
              <w:ind w:left="0"/>
              <w:jc w:val="center"/>
              <w:textAlignment w:val="center"/>
              <w:rPr>
                <w:color w:val="000000"/>
                <w:kern w:val="0"/>
                <w:sz w:val="22"/>
                <w:szCs w:val="22"/>
                <w:lang w:bidi="ar"/>
              </w:rPr>
            </w:pPr>
            <w:r>
              <w:rPr>
                <w:color w:val="000000"/>
                <w:kern w:val="0"/>
                <w:sz w:val="22"/>
                <w:szCs w:val="22"/>
                <w:lang w:bidi="ar"/>
              </w:rPr>
              <w:t xml:space="preserve">0.000 </w:t>
            </w:r>
          </w:p>
        </w:tc>
        <w:tc>
          <w:tcPr>
            <w:tcW w:w="1205" w:type="dxa"/>
            <w:tcBorders>
              <w:top w:val="nil"/>
              <w:left w:val="nil"/>
              <w:bottom w:val="single" w:color="auto" w:sz="4" w:space="0"/>
              <w:right w:val="single" w:color="auto" w:sz="4" w:space="0"/>
            </w:tcBorders>
            <w:noWrap/>
            <w:vAlign w:val="center"/>
          </w:tcPr>
          <w:p w14:paraId="53A88295">
            <w:pPr>
              <w:ind w:left="0"/>
              <w:jc w:val="center"/>
              <w:textAlignment w:val="center"/>
              <w:rPr>
                <w:color w:val="000000"/>
                <w:kern w:val="0"/>
                <w:sz w:val="22"/>
                <w:szCs w:val="22"/>
                <w:lang w:bidi="ar"/>
              </w:rPr>
            </w:pPr>
            <w:r>
              <w:rPr>
                <w:color w:val="000000"/>
                <w:kern w:val="0"/>
                <w:sz w:val="22"/>
                <w:szCs w:val="22"/>
                <w:lang w:bidi="ar"/>
              </w:rPr>
              <w:t xml:space="preserve">0.009 </w:t>
            </w:r>
          </w:p>
        </w:tc>
        <w:tc>
          <w:tcPr>
            <w:tcW w:w="1208" w:type="dxa"/>
            <w:tcBorders>
              <w:top w:val="nil"/>
              <w:left w:val="nil"/>
              <w:bottom w:val="single" w:color="auto" w:sz="4" w:space="0"/>
              <w:right w:val="single" w:color="auto" w:sz="4" w:space="0"/>
            </w:tcBorders>
            <w:noWrap/>
            <w:vAlign w:val="center"/>
          </w:tcPr>
          <w:p w14:paraId="02A66B0B">
            <w:pPr>
              <w:ind w:left="0"/>
              <w:jc w:val="center"/>
              <w:textAlignment w:val="center"/>
              <w:rPr>
                <w:color w:val="000000"/>
                <w:kern w:val="0"/>
                <w:sz w:val="22"/>
                <w:szCs w:val="22"/>
                <w:lang w:bidi="ar"/>
              </w:rPr>
            </w:pPr>
            <w:r>
              <w:rPr>
                <w:color w:val="000000"/>
                <w:kern w:val="0"/>
                <w:sz w:val="22"/>
                <w:szCs w:val="22"/>
                <w:lang w:bidi="ar"/>
              </w:rPr>
              <w:t xml:space="preserve">0.020 </w:t>
            </w:r>
          </w:p>
        </w:tc>
        <w:tc>
          <w:tcPr>
            <w:tcW w:w="431" w:type="pct"/>
            <w:tcBorders>
              <w:top w:val="single" w:color="auto" w:sz="4" w:space="0"/>
              <w:left w:val="nil"/>
              <w:bottom w:val="single" w:color="auto" w:sz="4" w:space="0"/>
              <w:right w:val="single" w:color="auto" w:sz="4" w:space="0"/>
            </w:tcBorders>
            <w:vAlign w:val="center"/>
          </w:tcPr>
          <w:p w14:paraId="45654177">
            <w:pPr>
              <w:ind w:left="0"/>
              <w:jc w:val="center"/>
              <w:rPr>
                <w:color w:val="000000"/>
                <w:kern w:val="0"/>
                <w:sz w:val="22"/>
                <w:szCs w:val="22"/>
              </w:rPr>
            </w:pPr>
            <w:r>
              <w:rPr>
                <w:color w:val="000000"/>
                <w:kern w:val="0"/>
                <w:sz w:val="22"/>
                <w:szCs w:val="22"/>
              </w:rPr>
              <w:t>······</w:t>
            </w:r>
          </w:p>
        </w:tc>
        <w:tc>
          <w:tcPr>
            <w:tcW w:w="1206" w:type="dxa"/>
            <w:tcBorders>
              <w:top w:val="single" w:color="auto" w:sz="4" w:space="0"/>
              <w:left w:val="single" w:color="auto" w:sz="4" w:space="0"/>
              <w:bottom w:val="single" w:color="auto" w:sz="4" w:space="0"/>
              <w:right w:val="single" w:color="auto" w:sz="4" w:space="0"/>
            </w:tcBorders>
            <w:noWrap/>
            <w:vAlign w:val="center"/>
          </w:tcPr>
          <w:p w14:paraId="588D3C1C">
            <w:pPr>
              <w:ind w:left="0"/>
              <w:jc w:val="center"/>
              <w:textAlignment w:val="center"/>
              <w:rPr>
                <w:color w:val="000000"/>
                <w:kern w:val="0"/>
                <w:sz w:val="22"/>
                <w:szCs w:val="22"/>
                <w:lang w:bidi="ar"/>
              </w:rPr>
            </w:pPr>
            <w:r>
              <w:rPr>
                <w:color w:val="000000"/>
                <w:kern w:val="0"/>
                <w:sz w:val="22"/>
                <w:szCs w:val="22"/>
                <w:lang w:bidi="ar"/>
              </w:rPr>
              <w:t xml:space="preserve">0.078 </w:t>
            </w:r>
          </w:p>
        </w:tc>
        <w:tc>
          <w:tcPr>
            <w:tcW w:w="1206" w:type="dxa"/>
            <w:tcBorders>
              <w:top w:val="nil"/>
              <w:left w:val="nil"/>
              <w:bottom w:val="single" w:color="auto" w:sz="4" w:space="0"/>
              <w:right w:val="single" w:color="auto" w:sz="4" w:space="0"/>
            </w:tcBorders>
            <w:noWrap/>
            <w:vAlign w:val="center"/>
          </w:tcPr>
          <w:p w14:paraId="3D47F2C3">
            <w:pPr>
              <w:ind w:left="0"/>
              <w:jc w:val="center"/>
              <w:textAlignment w:val="center"/>
              <w:rPr>
                <w:color w:val="000000"/>
                <w:kern w:val="0"/>
                <w:sz w:val="22"/>
                <w:szCs w:val="22"/>
                <w:lang w:bidi="ar"/>
              </w:rPr>
            </w:pPr>
            <w:r>
              <w:rPr>
                <w:color w:val="000000"/>
                <w:kern w:val="0"/>
                <w:sz w:val="22"/>
                <w:szCs w:val="22"/>
                <w:lang w:bidi="ar"/>
              </w:rPr>
              <w:t xml:space="preserve">0.090 </w:t>
            </w:r>
          </w:p>
        </w:tc>
        <w:tc>
          <w:tcPr>
            <w:tcW w:w="1206" w:type="dxa"/>
            <w:tcBorders>
              <w:top w:val="nil"/>
              <w:left w:val="nil"/>
              <w:bottom w:val="single" w:color="auto" w:sz="4" w:space="0"/>
              <w:right w:val="single" w:color="auto" w:sz="4" w:space="0"/>
            </w:tcBorders>
            <w:noWrap/>
            <w:vAlign w:val="center"/>
          </w:tcPr>
          <w:p w14:paraId="0C38EE99">
            <w:pPr>
              <w:ind w:left="0"/>
              <w:jc w:val="center"/>
              <w:textAlignment w:val="center"/>
              <w:rPr>
                <w:color w:val="000000"/>
                <w:kern w:val="0"/>
                <w:sz w:val="22"/>
                <w:szCs w:val="22"/>
                <w:lang w:bidi="ar"/>
              </w:rPr>
            </w:pPr>
            <w:r>
              <w:rPr>
                <w:color w:val="000000"/>
                <w:kern w:val="0"/>
                <w:sz w:val="22"/>
                <w:szCs w:val="22"/>
                <w:lang w:bidi="ar"/>
              </w:rPr>
              <w:t xml:space="preserve">0.101 </w:t>
            </w:r>
          </w:p>
        </w:tc>
        <w:tc>
          <w:tcPr>
            <w:tcW w:w="1226" w:type="dxa"/>
            <w:tcBorders>
              <w:top w:val="nil"/>
              <w:left w:val="nil"/>
              <w:bottom w:val="single" w:color="auto" w:sz="4" w:space="0"/>
              <w:right w:val="single" w:color="auto" w:sz="4" w:space="0"/>
            </w:tcBorders>
            <w:noWrap/>
            <w:vAlign w:val="center"/>
          </w:tcPr>
          <w:p w14:paraId="7F260931">
            <w:pPr>
              <w:ind w:left="0"/>
              <w:jc w:val="center"/>
              <w:textAlignment w:val="center"/>
              <w:rPr>
                <w:color w:val="000000"/>
                <w:kern w:val="0"/>
                <w:sz w:val="22"/>
                <w:szCs w:val="22"/>
                <w:lang w:bidi="ar"/>
              </w:rPr>
            </w:pPr>
            <w:r>
              <w:rPr>
                <w:color w:val="000000"/>
                <w:kern w:val="0"/>
                <w:sz w:val="22"/>
                <w:szCs w:val="22"/>
                <w:lang w:bidi="ar"/>
              </w:rPr>
              <w:t xml:space="preserve">0.113 </w:t>
            </w:r>
          </w:p>
        </w:tc>
      </w:tr>
      <w:tr w14:paraId="39BA7285">
        <w:tblPrEx>
          <w:tblCellMar>
            <w:top w:w="0" w:type="dxa"/>
            <w:left w:w="108" w:type="dxa"/>
            <w:bottom w:w="0" w:type="dxa"/>
            <w:right w:w="108" w:type="dxa"/>
          </w:tblCellMar>
        </w:tblPrEx>
        <w:trPr>
          <w:trHeight w:val="442" w:hRule="atLeast"/>
        </w:trPr>
        <w:tc>
          <w:tcPr>
            <w:tcW w:w="1031" w:type="pct"/>
            <w:tcBorders>
              <w:top w:val="nil"/>
              <w:left w:val="single" w:color="auto" w:sz="4" w:space="0"/>
              <w:bottom w:val="single" w:color="auto" w:sz="4" w:space="0"/>
              <w:right w:val="single" w:color="auto" w:sz="4" w:space="0"/>
            </w:tcBorders>
            <w:noWrap/>
            <w:vAlign w:val="center"/>
          </w:tcPr>
          <w:p w14:paraId="181134F5">
            <w:pPr>
              <w:ind w:left="0"/>
              <w:jc w:val="center"/>
              <w:rPr>
                <w:rFonts w:hint="eastAsia" w:ascii="宋体" w:hAnsi="宋体" w:cs="宋体"/>
                <w:color w:val="000000"/>
                <w:kern w:val="0"/>
                <w:sz w:val="22"/>
                <w:szCs w:val="22"/>
              </w:rPr>
            </w:pPr>
            <w:r>
              <w:rPr>
                <w:rFonts w:hint="eastAsia" w:ascii="宋体" w:hAnsi="宋体" w:cs="宋体"/>
                <w:color w:val="000000"/>
                <w:kern w:val="0"/>
                <w:sz w:val="22"/>
                <w:szCs w:val="22"/>
              </w:rPr>
              <w:t>蠕变和滞后</w:t>
            </w:r>
          </w:p>
        </w:tc>
        <w:tc>
          <w:tcPr>
            <w:tcW w:w="348" w:type="pct"/>
            <w:tcBorders>
              <w:top w:val="nil"/>
              <w:left w:val="nil"/>
              <w:bottom w:val="single" w:color="auto" w:sz="4" w:space="0"/>
              <w:right w:val="single" w:color="auto" w:sz="4" w:space="0"/>
            </w:tcBorders>
            <w:noWrap/>
            <w:vAlign w:val="center"/>
          </w:tcPr>
          <w:p w14:paraId="67295153">
            <w:pPr>
              <w:ind w:left="0"/>
              <w:jc w:val="center"/>
              <w:rPr>
                <w:color w:val="000000"/>
                <w:kern w:val="0"/>
                <w:sz w:val="22"/>
                <w:szCs w:val="22"/>
              </w:rPr>
            </w:pPr>
          </w:p>
        </w:tc>
        <w:tc>
          <w:tcPr>
            <w:tcW w:w="156" w:type="pct"/>
            <w:tcBorders>
              <w:top w:val="nil"/>
              <w:left w:val="nil"/>
              <w:bottom w:val="single" w:color="auto" w:sz="4" w:space="0"/>
              <w:right w:val="single" w:color="auto" w:sz="4" w:space="0"/>
            </w:tcBorders>
            <w:noWrap/>
            <w:vAlign w:val="center"/>
          </w:tcPr>
          <w:p w14:paraId="3721D171">
            <w:pPr>
              <w:ind w:left="0"/>
              <w:jc w:val="center"/>
              <w:rPr>
                <w:color w:val="000000"/>
                <w:kern w:val="0"/>
                <w:sz w:val="22"/>
                <w:szCs w:val="22"/>
              </w:rPr>
            </w:pPr>
            <w:r>
              <w:rPr>
                <w:color w:val="000000"/>
                <w:kern w:val="0"/>
                <w:sz w:val="22"/>
                <w:szCs w:val="22"/>
              </w:rPr>
              <w:t>kg</w:t>
            </w:r>
          </w:p>
        </w:tc>
        <w:tc>
          <w:tcPr>
            <w:tcW w:w="1205" w:type="dxa"/>
            <w:tcBorders>
              <w:top w:val="nil"/>
              <w:left w:val="nil"/>
              <w:bottom w:val="single" w:color="auto" w:sz="4" w:space="0"/>
              <w:right w:val="single" w:color="auto" w:sz="4" w:space="0"/>
            </w:tcBorders>
            <w:noWrap/>
            <w:vAlign w:val="center"/>
          </w:tcPr>
          <w:p w14:paraId="276CB24C">
            <w:pPr>
              <w:ind w:left="0"/>
              <w:jc w:val="center"/>
              <w:textAlignment w:val="center"/>
              <w:rPr>
                <w:color w:val="000000"/>
                <w:kern w:val="0"/>
                <w:sz w:val="22"/>
                <w:szCs w:val="22"/>
                <w:lang w:bidi="ar"/>
              </w:rPr>
            </w:pPr>
            <w:r>
              <w:rPr>
                <w:color w:val="000000"/>
                <w:kern w:val="0"/>
                <w:sz w:val="22"/>
                <w:szCs w:val="22"/>
                <w:lang w:bidi="ar"/>
              </w:rPr>
              <w:t xml:space="preserve">0.000 </w:t>
            </w:r>
          </w:p>
        </w:tc>
        <w:tc>
          <w:tcPr>
            <w:tcW w:w="1205" w:type="dxa"/>
            <w:tcBorders>
              <w:top w:val="nil"/>
              <w:left w:val="nil"/>
              <w:bottom w:val="single" w:color="auto" w:sz="4" w:space="0"/>
              <w:right w:val="single" w:color="auto" w:sz="4" w:space="0"/>
            </w:tcBorders>
            <w:noWrap/>
            <w:vAlign w:val="center"/>
          </w:tcPr>
          <w:p w14:paraId="1000C3B6">
            <w:pPr>
              <w:ind w:left="0"/>
              <w:jc w:val="center"/>
              <w:textAlignment w:val="center"/>
              <w:rPr>
                <w:color w:val="000000"/>
                <w:kern w:val="0"/>
                <w:sz w:val="22"/>
                <w:szCs w:val="22"/>
                <w:lang w:bidi="ar"/>
              </w:rPr>
            </w:pPr>
            <w:r>
              <w:rPr>
                <w:color w:val="000000"/>
                <w:kern w:val="0"/>
                <w:sz w:val="22"/>
                <w:szCs w:val="22"/>
                <w:lang w:bidi="ar"/>
              </w:rPr>
              <w:t xml:space="preserve">0.003 </w:t>
            </w:r>
          </w:p>
        </w:tc>
        <w:tc>
          <w:tcPr>
            <w:tcW w:w="1208" w:type="dxa"/>
            <w:tcBorders>
              <w:top w:val="nil"/>
              <w:left w:val="nil"/>
              <w:bottom w:val="single" w:color="auto" w:sz="4" w:space="0"/>
              <w:right w:val="single" w:color="auto" w:sz="4" w:space="0"/>
            </w:tcBorders>
            <w:noWrap/>
            <w:vAlign w:val="center"/>
          </w:tcPr>
          <w:p w14:paraId="0860D624">
            <w:pPr>
              <w:ind w:left="0"/>
              <w:jc w:val="center"/>
              <w:textAlignment w:val="center"/>
              <w:rPr>
                <w:color w:val="000000"/>
                <w:kern w:val="0"/>
                <w:sz w:val="22"/>
                <w:szCs w:val="22"/>
                <w:lang w:bidi="ar"/>
              </w:rPr>
            </w:pPr>
            <w:r>
              <w:rPr>
                <w:color w:val="000000"/>
                <w:kern w:val="0"/>
                <w:sz w:val="22"/>
                <w:szCs w:val="22"/>
                <w:lang w:bidi="ar"/>
              </w:rPr>
              <w:t xml:space="preserve">0.008 </w:t>
            </w:r>
          </w:p>
        </w:tc>
        <w:tc>
          <w:tcPr>
            <w:tcW w:w="431" w:type="pct"/>
            <w:tcBorders>
              <w:top w:val="single" w:color="auto" w:sz="4" w:space="0"/>
              <w:left w:val="nil"/>
              <w:bottom w:val="single" w:color="auto" w:sz="4" w:space="0"/>
              <w:right w:val="single" w:color="auto" w:sz="4" w:space="0"/>
            </w:tcBorders>
            <w:vAlign w:val="center"/>
          </w:tcPr>
          <w:p w14:paraId="0603DF53">
            <w:pPr>
              <w:ind w:left="0"/>
              <w:jc w:val="center"/>
              <w:rPr>
                <w:color w:val="000000"/>
                <w:kern w:val="0"/>
                <w:sz w:val="22"/>
                <w:szCs w:val="22"/>
              </w:rPr>
            </w:pPr>
            <w:r>
              <w:rPr>
                <w:color w:val="000000"/>
                <w:kern w:val="0"/>
                <w:sz w:val="22"/>
                <w:szCs w:val="22"/>
              </w:rPr>
              <w:t>······</w:t>
            </w:r>
          </w:p>
        </w:tc>
        <w:tc>
          <w:tcPr>
            <w:tcW w:w="1206" w:type="dxa"/>
            <w:tcBorders>
              <w:top w:val="single" w:color="auto" w:sz="4" w:space="0"/>
              <w:left w:val="single" w:color="auto" w:sz="4" w:space="0"/>
              <w:bottom w:val="single" w:color="auto" w:sz="4" w:space="0"/>
              <w:right w:val="single" w:color="auto" w:sz="4" w:space="0"/>
            </w:tcBorders>
            <w:noWrap/>
            <w:vAlign w:val="center"/>
          </w:tcPr>
          <w:p w14:paraId="5D9B2820">
            <w:pPr>
              <w:ind w:left="0"/>
              <w:jc w:val="center"/>
              <w:textAlignment w:val="center"/>
              <w:rPr>
                <w:color w:val="000000"/>
                <w:kern w:val="0"/>
                <w:sz w:val="22"/>
                <w:szCs w:val="22"/>
                <w:lang w:bidi="ar"/>
              </w:rPr>
            </w:pPr>
            <w:r>
              <w:rPr>
                <w:color w:val="000000"/>
                <w:kern w:val="0"/>
                <w:sz w:val="22"/>
                <w:szCs w:val="22"/>
                <w:lang w:bidi="ar"/>
              </w:rPr>
              <w:t xml:space="preserve">0.030 </w:t>
            </w:r>
          </w:p>
        </w:tc>
        <w:tc>
          <w:tcPr>
            <w:tcW w:w="1206" w:type="dxa"/>
            <w:tcBorders>
              <w:top w:val="nil"/>
              <w:left w:val="nil"/>
              <w:bottom w:val="single" w:color="auto" w:sz="4" w:space="0"/>
              <w:right w:val="single" w:color="auto" w:sz="4" w:space="0"/>
            </w:tcBorders>
            <w:noWrap/>
            <w:vAlign w:val="center"/>
          </w:tcPr>
          <w:p w14:paraId="245F3D93">
            <w:pPr>
              <w:ind w:left="0"/>
              <w:jc w:val="center"/>
              <w:textAlignment w:val="center"/>
              <w:rPr>
                <w:color w:val="000000"/>
                <w:kern w:val="0"/>
                <w:sz w:val="22"/>
                <w:szCs w:val="22"/>
                <w:lang w:bidi="ar"/>
              </w:rPr>
            </w:pPr>
            <w:r>
              <w:rPr>
                <w:color w:val="000000"/>
                <w:kern w:val="0"/>
                <w:sz w:val="22"/>
                <w:szCs w:val="22"/>
                <w:lang w:bidi="ar"/>
              </w:rPr>
              <w:t xml:space="preserve">0.034 </w:t>
            </w:r>
          </w:p>
        </w:tc>
        <w:tc>
          <w:tcPr>
            <w:tcW w:w="1206" w:type="dxa"/>
            <w:tcBorders>
              <w:top w:val="nil"/>
              <w:left w:val="nil"/>
              <w:bottom w:val="single" w:color="auto" w:sz="4" w:space="0"/>
              <w:right w:val="single" w:color="auto" w:sz="4" w:space="0"/>
            </w:tcBorders>
            <w:noWrap/>
            <w:vAlign w:val="center"/>
          </w:tcPr>
          <w:p w14:paraId="74CA0418">
            <w:pPr>
              <w:ind w:left="0"/>
              <w:jc w:val="center"/>
              <w:textAlignment w:val="center"/>
              <w:rPr>
                <w:color w:val="000000"/>
                <w:kern w:val="0"/>
                <w:sz w:val="22"/>
                <w:szCs w:val="22"/>
                <w:lang w:bidi="ar"/>
              </w:rPr>
            </w:pPr>
            <w:r>
              <w:rPr>
                <w:color w:val="000000"/>
                <w:kern w:val="0"/>
                <w:sz w:val="22"/>
                <w:szCs w:val="22"/>
                <w:lang w:bidi="ar"/>
              </w:rPr>
              <w:t xml:space="preserve">0.039 </w:t>
            </w:r>
          </w:p>
        </w:tc>
        <w:tc>
          <w:tcPr>
            <w:tcW w:w="1226" w:type="dxa"/>
            <w:tcBorders>
              <w:top w:val="nil"/>
              <w:left w:val="nil"/>
              <w:bottom w:val="single" w:color="auto" w:sz="4" w:space="0"/>
              <w:right w:val="single" w:color="auto" w:sz="4" w:space="0"/>
            </w:tcBorders>
            <w:noWrap/>
            <w:vAlign w:val="center"/>
          </w:tcPr>
          <w:p w14:paraId="050C08CE">
            <w:pPr>
              <w:ind w:left="0"/>
              <w:jc w:val="center"/>
              <w:textAlignment w:val="center"/>
              <w:rPr>
                <w:color w:val="000000"/>
                <w:kern w:val="0"/>
                <w:sz w:val="22"/>
                <w:szCs w:val="22"/>
                <w:lang w:bidi="ar"/>
              </w:rPr>
            </w:pPr>
            <w:r>
              <w:rPr>
                <w:color w:val="000000"/>
                <w:kern w:val="0"/>
                <w:sz w:val="22"/>
                <w:szCs w:val="22"/>
                <w:lang w:bidi="ar"/>
              </w:rPr>
              <w:t xml:space="preserve">0.043 </w:t>
            </w:r>
          </w:p>
        </w:tc>
      </w:tr>
      <w:tr w14:paraId="4AF17551">
        <w:tblPrEx>
          <w:tblCellMar>
            <w:top w:w="0" w:type="dxa"/>
            <w:left w:w="108" w:type="dxa"/>
            <w:bottom w:w="0" w:type="dxa"/>
            <w:right w:w="108" w:type="dxa"/>
          </w:tblCellMar>
        </w:tblPrEx>
        <w:trPr>
          <w:trHeight w:val="442" w:hRule="atLeast"/>
        </w:trPr>
        <w:tc>
          <w:tcPr>
            <w:tcW w:w="1031" w:type="pct"/>
            <w:tcBorders>
              <w:top w:val="nil"/>
              <w:left w:val="single" w:color="auto" w:sz="4" w:space="0"/>
              <w:bottom w:val="single" w:color="auto" w:sz="4" w:space="0"/>
              <w:right w:val="single" w:color="auto" w:sz="4" w:space="0"/>
            </w:tcBorders>
            <w:noWrap/>
            <w:vAlign w:val="center"/>
          </w:tcPr>
          <w:p w14:paraId="40C82E2F">
            <w:pPr>
              <w:ind w:left="0"/>
              <w:jc w:val="center"/>
              <w:rPr>
                <w:rFonts w:hint="eastAsia" w:ascii="宋体" w:hAnsi="宋体" w:cs="宋体"/>
                <w:color w:val="000000"/>
                <w:kern w:val="0"/>
                <w:sz w:val="22"/>
                <w:szCs w:val="22"/>
              </w:rPr>
            </w:pPr>
            <w:r>
              <w:rPr>
                <w:rFonts w:hint="eastAsia" w:ascii="宋体" w:hAnsi="宋体" w:cs="宋体"/>
                <w:color w:val="000000"/>
                <w:kern w:val="0"/>
                <w:sz w:val="22"/>
                <w:szCs w:val="22"/>
              </w:rPr>
              <w:t>示值不确定度</w:t>
            </w:r>
          </w:p>
        </w:tc>
        <w:tc>
          <w:tcPr>
            <w:tcW w:w="348" w:type="pct"/>
            <w:tcBorders>
              <w:top w:val="nil"/>
              <w:left w:val="nil"/>
              <w:bottom w:val="single" w:color="auto" w:sz="4" w:space="0"/>
              <w:right w:val="single" w:color="auto" w:sz="4" w:space="0"/>
            </w:tcBorders>
            <w:noWrap/>
            <w:vAlign w:val="center"/>
          </w:tcPr>
          <w:p w14:paraId="5AA0A10E">
            <w:pPr>
              <w:ind w:left="0"/>
              <w:jc w:val="center"/>
              <w:rPr>
                <w:color w:val="000000"/>
                <w:kern w:val="0"/>
                <w:sz w:val="22"/>
                <w:szCs w:val="22"/>
              </w:rPr>
            </w:pPr>
            <w:r>
              <w:rPr>
                <w:color w:val="000000"/>
                <w:kern w:val="0"/>
                <w:sz w:val="22"/>
                <w:szCs w:val="22"/>
              </w:rPr>
              <w:drawing>
                <wp:anchor distT="0" distB="0" distL="114300" distR="114300" simplePos="0" relativeHeight="251689984" behindDoc="0" locked="0" layoutInCell="1" allowOverlap="1">
                  <wp:simplePos x="0" y="0"/>
                  <wp:positionH relativeFrom="column">
                    <wp:posOffset>42545</wp:posOffset>
                  </wp:positionH>
                  <wp:positionV relativeFrom="paragraph">
                    <wp:posOffset>48895</wp:posOffset>
                  </wp:positionV>
                  <wp:extent cx="400050" cy="209550"/>
                  <wp:effectExtent l="0" t="0" r="0" b="0"/>
                  <wp:wrapNone/>
                  <wp:docPr id="27"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10"/>
                          <pic:cNvPicPr>
                            <a:picLocks noChangeAspect="1" noChangeArrowheads="1"/>
                          </pic:cNvPicPr>
                        </pic:nvPicPr>
                        <pic:blipFill>
                          <a:blip r:embed="rId89">
                            <a:extLst>
                              <a:ext uri="{28A0092B-C50C-407E-A947-70E740481C1C}">
                                <a14:useLocalDpi xmlns:a14="http://schemas.microsoft.com/office/drawing/2010/main" val="0"/>
                              </a:ext>
                            </a:extLst>
                          </a:blip>
                          <a:srcRect/>
                          <a:stretch>
                            <a:fillRect/>
                          </a:stretch>
                        </pic:blipFill>
                        <pic:spPr>
                          <a:xfrm>
                            <a:off x="0" y="0"/>
                            <a:ext cx="400050" cy="209550"/>
                          </a:xfrm>
                          <a:prstGeom prst="rect">
                            <a:avLst/>
                          </a:prstGeom>
                          <a:noFill/>
                          <a:ln>
                            <a:noFill/>
                          </a:ln>
                        </pic:spPr>
                      </pic:pic>
                    </a:graphicData>
                  </a:graphic>
                </wp:anchor>
              </w:drawing>
            </w:r>
          </w:p>
        </w:tc>
        <w:tc>
          <w:tcPr>
            <w:tcW w:w="156" w:type="pct"/>
            <w:tcBorders>
              <w:top w:val="nil"/>
              <w:left w:val="nil"/>
              <w:bottom w:val="single" w:color="auto" w:sz="4" w:space="0"/>
              <w:right w:val="single" w:color="auto" w:sz="4" w:space="0"/>
            </w:tcBorders>
            <w:noWrap/>
            <w:vAlign w:val="center"/>
          </w:tcPr>
          <w:p w14:paraId="5F4F8A13">
            <w:pPr>
              <w:ind w:left="0"/>
              <w:jc w:val="center"/>
              <w:rPr>
                <w:color w:val="000000"/>
                <w:kern w:val="0"/>
                <w:sz w:val="22"/>
                <w:szCs w:val="22"/>
              </w:rPr>
            </w:pPr>
            <w:r>
              <w:rPr>
                <w:color w:val="000000"/>
                <w:kern w:val="0"/>
                <w:sz w:val="22"/>
                <w:szCs w:val="22"/>
              </w:rPr>
              <w:t>kg</w:t>
            </w:r>
          </w:p>
        </w:tc>
        <w:tc>
          <w:tcPr>
            <w:tcW w:w="1205" w:type="dxa"/>
            <w:tcBorders>
              <w:top w:val="nil"/>
              <w:left w:val="nil"/>
              <w:bottom w:val="single" w:color="auto" w:sz="4" w:space="0"/>
              <w:right w:val="single" w:color="auto" w:sz="4" w:space="0"/>
            </w:tcBorders>
            <w:noWrap/>
            <w:vAlign w:val="center"/>
          </w:tcPr>
          <w:p w14:paraId="0970DBA3">
            <w:pPr>
              <w:ind w:left="0"/>
              <w:jc w:val="center"/>
              <w:textAlignment w:val="center"/>
              <w:rPr>
                <w:color w:val="000000"/>
                <w:kern w:val="0"/>
                <w:sz w:val="22"/>
                <w:szCs w:val="22"/>
                <w:lang w:bidi="ar"/>
              </w:rPr>
            </w:pPr>
            <w:r>
              <w:rPr>
                <w:color w:val="000000"/>
                <w:kern w:val="0"/>
                <w:sz w:val="22"/>
                <w:szCs w:val="22"/>
                <w:lang w:bidi="ar"/>
              </w:rPr>
              <w:t xml:space="preserve">0.061 </w:t>
            </w:r>
          </w:p>
        </w:tc>
        <w:tc>
          <w:tcPr>
            <w:tcW w:w="1205" w:type="dxa"/>
            <w:tcBorders>
              <w:top w:val="nil"/>
              <w:left w:val="nil"/>
              <w:bottom w:val="single" w:color="auto" w:sz="4" w:space="0"/>
              <w:right w:val="single" w:color="auto" w:sz="4" w:space="0"/>
            </w:tcBorders>
            <w:noWrap/>
            <w:vAlign w:val="center"/>
          </w:tcPr>
          <w:p w14:paraId="49A6C2CC">
            <w:pPr>
              <w:ind w:left="0"/>
              <w:jc w:val="center"/>
              <w:textAlignment w:val="center"/>
              <w:rPr>
                <w:color w:val="000000"/>
                <w:kern w:val="0"/>
                <w:sz w:val="22"/>
                <w:szCs w:val="22"/>
                <w:lang w:bidi="ar"/>
              </w:rPr>
            </w:pPr>
            <w:r>
              <w:rPr>
                <w:color w:val="000000"/>
                <w:kern w:val="0"/>
                <w:sz w:val="22"/>
                <w:szCs w:val="22"/>
                <w:lang w:bidi="ar"/>
              </w:rPr>
              <w:t xml:space="preserve">0.062 </w:t>
            </w:r>
          </w:p>
        </w:tc>
        <w:tc>
          <w:tcPr>
            <w:tcW w:w="1208" w:type="dxa"/>
            <w:tcBorders>
              <w:top w:val="nil"/>
              <w:left w:val="nil"/>
              <w:bottom w:val="single" w:color="auto" w:sz="4" w:space="0"/>
              <w:right w:val="single" w:color="auto" w:sz="4" w:space="0"/>
            </w:tcBorders>
            <w:noWrap/>
            <w:vAlign w:val="center"/>
          </w:tcPr>
          <w:p w14:paraId="1D8BE9FF">
            <w:pPr>
              <w:ind w:left="0"/>
              <w:jc w:val="center"/>
              <w:textAlignment w:val="center"/>
              <w:rPr>
                <w:color w:val="000000"/>
                <w:kern w:val="0"/>
                <w:sz w:val="22"/>
                <w:szCs w:val="22"/>
                <w:lang w:bidi="ar"/>
              </w:rPr>
            </w:pPr>
            <w:r>
              <w:rPr>
                <w:color w:val="000000"/>
                <w:kern w:val="0"/>
                <w:sz w:val="22"/>
                <w:szCs w:val="22"/>
                <w:lang w:bidi="ar"/>
              </w:rPr>
              <w:t xml:space="preserve">0.065 </w:t>
            </w:r>
          </w:p>
        </w:tc>
        <w:tc>
          <w:tcPr>
            <w:tcW w:w="431" w:type="pct"/>
            <w:tcBorders>
              <w:top w:val="single" w:color="auto" w:sz="4" w:space="0"/>
              <w:left w:val="nil"/>
              <w:bottom w:val="single" w:color="auto" w:sz="4" w:space="0"/>
              <w:right w:val="single" w:color="auto" w:sz="4" w:space="0"/>
            </w:tcBorders>
            <w:vAlign w:val="center"/>
          </w:tcPr>
          <w:p w14:paraId="1B9CA5F8">
            <w:pPr>
              <w:ind w:left="0"/>
              <w:jc w:val="center"/>
              <w:rPr>
                <w:color w:val="000000"/>
                <w:kern w:val="0"/>
                <w:sz w:val="22"/>
                <w:szCs w:val="22"/>
              </w:rPr>
            </w:pPr>
            <w:r>
              <w:rPr>
                <w:color w:val="000000"/>
                <w:kern w:val="0"/>
                <w:sz w:val="22"/>
                <w:szCs w:val="22"/>
              </w:rPr>
              <w:t>······</w:t>
            </w:r>
          </w:p>
        </w:tc>
        <w:tc>
          <w:tcPr>
            <w:tcW w:w="1206" w:type="dxa"/>
            <w:tcBorders>
              <w:top w:val="single" w:color="auto" w:sz="4" w:space="0"/>
              <w:left w:val="single" w:color="auto" w:sz="4" w:space="0"/>
              <w:bottom w:val="single" w:color="auto" w:sz="4" w:space="0"/>
              <w:right w:val="single" w:color="auto" w:sz="4" w:space="0"/>
            </w:tcBorders>
            <w:noWrap/>
            <w:vAlign w:val="center"/>
          </w:tcPr>
          <w:p w14:paraId="6397D5C3">
            <w:pPr>
              <w:ind w:left="0"/>
              <w:jc w:val="center"/>
              <w:textAlignment w:val="center"/>
              <w:rPr>
                <w:color w:val="000000"/>
                <w:kern w:val="0"/>
                <w:sz w:val="22"/>
                <w:szCs w:val="22"/>
                <w:lang w:bidi="ar"/>
              </w:rPr>
            </w:pPr>
            <w:r>
              <w:rPr>
                <w:color w:val="000000"/>
                <w:kern w:val="0"/>
                <w:sz w:val="22"/>
                <w:szCs w:val="22"/>
                <w:lang w:bidi="ar"/>
              </w:rPr>
              <w:t xml:space="preserve">0.103 </w:t>
            </w:r>
          </w:p>
        </w:tc>
        <w:tc>
          <w:tcPr>
            <w:tcW w:w="1206" w:type="dxa"/>
            <w:tcBorders>
              <w:top w:val="nil"/>
              <w:left w:val="nil"/>
              <w:bottom w:val="single" w:color="auto" w:sz="4" w:space="0"/>
              <w:right w:val="single" w:color="auto" w:sz="4" w:space="0"/>
            </w:tcBorders>
            <w:noWrap/>
            <w:vAlign w:val="center"/>
          </w:tcPr>
          <w:p w14:paraId="52F07C4B">
            <w:pPr>
              <w:ind w:left="0"/>
              <w:jc w:val="center"/>
              <w:textAlignment w:val="center"/>
              <w:rPr>
                <w:color w:val="000000"/>
                <w:kern w:val="0"/>
                <w:sz w:val="22"/>
                <w:szCs w:val="22"/>
                <w:lang w:bidi="ar"/>
              </w:rPr>
            </w:pPr>
            <w:r>
              <w:rPr>
                <w:color w:val="000000"/>
                <w:kern w:val="0"/>
                <w:sz w:val="22"/>
                <w:szCs w:val="22"/>
                <w:lang w:bidi="ar"/>
              </w:rPr>
              <w:t xml:space="preserve">0.114 </w:t>
            </w:r>
          </w:p>
        </w:tc>
        <w:tc>
          <w:tcPr>
            <w:tcW w:w="1206" w:type="dxa"/>
            <w:tcBorders>
              <w:top w:val="nil"/>
              <w:left w:val="nil"/>
              <w:bottom w:val="single" w:color="auto" w:sz="4" w:space="0"/>
              <w:right w:val="single" w:color="auto" w:sz="4" w:space="0"/>
            </w:tcBorders>
            <w:noWrap/>
            <w:vAlign w:val="center"/>
          </w:tcPr>
          <w:p w14:paraId="6EDD3D02">
            <w:pPr>
              <w:ind w:left="0"/>
              <w:jc w:val="center"/>
              <w:textAlignment w:val="center"/>
              <w:rPr>
                <w:color w:val="000000"/>
                <w:kern w:val="0"/>
                <w:sz w:val="22"/>
                <w:szCs w:val="22"/>
                <w:lang w:bidi="ar"/>
              </w:rPr>
            </w:pPr>
            <w:r>
              <w:rPr>
                <w:color w:val="000000"/>
                <w:kern w:val="0"/>
                <w:sz w:val="22"/>
                <w:szCs w:val="22"/>
                <w:lang w:bidi="ar"/>
              </w:rPr>
              <w:t xml:space="preserve">0.124 </w:t>
            </w:r>
          </w:p>
        </w:tc>
        <w:tc>
          <w:tcPr>
            <w:tcW w:w="1226" w:type="dxa"/>
            <w:tcBorders>
              <w:top w:val="nil"/>
              <w:left w:val="nil"/>
              <w:bottom w:val="single" w:color="auto" w:sz="4" w:space="0"/>
              <w:right w:val="single" w:color="auto" w:sz="4" w:space="0"/>
            </w:tcBorders>
            <w:noWrap/>
            <w:vAlign w:val="center"/>
          </w:tcPr>
          <w:p w14:paraId="387A67EB">
            <w:pPr>
              <w:ind w:left="0"/>
              <w:jc w:val="center"/>
              <w:textAlignment w:val="center"/>
              <w:rPr>
                <w:color w:val="000000"/>
                <w:kern w:val="0"/>
                <w:sz w:val="22"/>
                <w:szCs w:val="22"/>
                <w:lang w:bidi="ar"/>
              </w:rPr>
            </w:pPr>
            <w:r>
              <w:rPr>
                <w:color w:val="000000"/>
                <w:kern w:val="0"/>
                <w:sz w:val="22"/>
                <w:szCs w:val="22"/>
                <w:lang w:bidi="ar"/>
              </w:rPr>
              <w:t xml:space="preserve">0.135 </w:t>
            </w:r>
          </w:p>
        </w:tc>
      </w:tr>
      <w:tr w14:paraId="76B7028D">
        <w:tblPrEx>
          <w:tblCellMar>
            <w:top w:w="0" w:type="dxa"/>
            <w:left w:w="108" w:type="dxa"/>
            <w:bottom w:w="0" w:type="dxa"/>
            <w:right w:w="108" w:type="dxa"/>
          </w:tblCellMar>
        </w:tblPrEx>
        <w:trPr>
          <w:trHeight w:val="442" w:hRule="atLeast"/>
        </w:trPr>
        <w:tc>
          <w:tcPr>
            <w:tcW w:w="1031" w:type="pct"/>
            <w:tcBorders>
              <w:top w:val="nil"/>
              <w:left w:val="single" w:color="auto" w:sz="4" w:space="0"/>
              <w:bottom w:val="single" w:color="auto" w:sz="4" w:space="0"/>
              <w:right w:val="single" w:color="auto" w:sz="4" w:space="0"/>
            </w:tcBorders>
            <w:noWrap/>
            <w:vAlign w:val="center"/>
          </w:tcPr>
          <w:p w14:paraId="2C2E8130">
            <w:pPr>
              <w:ind w:left="0"/>
              <w:jc w:val="center"/>
              <w:rPr>
                <w:rFonts w:hint="eastAsia" w:ascii="宋体" w:hAnsi="宋体" w:cs="宋体"/>
                <w:color w:val="000000"/>
                <w:kern w:val="0"/>
                <w:sz w:val="22"/>
                <w:szCs w:val="22"/>
              </w:rPr>
            </w:pPr>
            <w:r>
              <w:rPr>
                <w:rFonts w:hint="eastAsia" w:ascii="宋体" w:hAnsi="宋体" w:cs="宋体"/>
                <w:color w:val="000000"/>
                <w:kern w:val="0"/>
                <w:sz w:val="22"/>
                <w:szCs w:val="22"/>
              </w:rPr>
              <w:t>试验载荷的不确定度</w:t>
            </w:r>
          </w:p>
        </w:tc>
        <w:tc>
          <w:tcPr>
            <w:tcW w:w="348" w:type="pct"/>
            <w:tcBorders>
              <w:top w:val="single" w:color="auto" w:sz="4" w:space="0"/>
              <w:left w:val="nil"/>
              <w:bottom w:val="single" w:color="auto" w:sz="4" w:space="0"/>
              <w:right w:val="single" w:color="auto" w:sz="4" w:space="0"/>
            </w:tcBorders>
            <w:noWrap/>
            <w:vAlign w:val="center"/>
          </w:tcPr>
          <w:p w14:paraId="0F1EE356">
            <w:pPr>
              <w:ind w:left="0"/>
              <w:jc w:val="center"/>
              <w:rPr>
                <w:color w:val="000000"/>
                <w:kern w:val="0"/>
                <w:sz w:val="22"/>
                <w:szCs w:val="22"/>
              </w:rPr>
            </w:pPr>
            <w:r>
              <w:rPr>
                <w:position w:val="-10"/>
              </w:rPr>
              <w:object>
                <v:shape id="_x0000_i1088" o:spt="75" type="#_x0000_t75" style="height:16pt;width:26pt;" o:ole="t" filled="f" o:preferrelative="t" stroked="f" coordsize="21600,21600">
                  <v:path/>
                  <v:fill on="f" focussize="0,0"/>
                  <v:stroke on="f" joinstyle="miter"/>
                  <v:imagedata r:id="rId136" o:title=""/>
                  <o:lock v:ext="edit" aspectratio="t"/>
                  <w10:wrap type="none"/>
                  <w10:anchorlock/>
                </v:shape>
                <o:OLEObject Type="Embed" ProgID="Equation.DSMT4" ShapeID="_x0000_i1088" DrawAspect="Content" ObjectID="_1468075788" r:id="rId135">
                  <o:LockedField>false</o:LockedField>
                </o:OLEObject>
              </w:object>
            </w:r>
          </w:p>
        </w:tc>
        <w:tc>
          <w:tcPr>
            <w:tcW w:w="156" w:type="pct"/>
            <w:tcBorders>
              <w:top w:val="nil"/>
              <w:left w:val="nil"/>
              <w:bottom w:val="single" w:color="auto" w:sz="4" w:space="0"/>
              <w:right w:val="single" w:color="auto" w:sz="4" w:space="0"/>
            </w:tcBorders>
            <w:noWrap/>
            <w:vAlign w:val="center"/>
          </w:tcPr>
          <w:p w14:paraId="2F040600">
            <w:pPr>
              <w:ind w:left="0"/>
              <w:jc w:val="center"/>
              <w:rPr>
                <w:color w:val="000000"/>
                <w:kern w:val="0"/>
                <w:sz w:val="22"/>
                <w:szCs w:val="22"/>
              </w:rPr>
            </w:pPr>
            <w:r>
              <w:rPr>
                <w:color w:val="000000"/>
                <w:kern w:val="0"/>
                <w:sz w:val="22"/>
                <w:szCs w:val="22"/>
              </w:rPr>
              <w:t>kg</w:t>
            </w:r>
          </w:p>
        </w:tc>
        <w:tc>
          <w:tcPr>
            <w:tcW w:w="1205" w:type="dxa"/>
            <w:tcBorders>
              <w:top w:val="single" w:color="auto" w:sz="4" w:space="0"/>
              <w:left w:val="nil"/>
              <w:bottom w:val="single" w:color="auto" w:sz="4" w:space="0"/>
              <w:right w:val="single" w:color="auto" w:sz="4" w:space="0"/>
            </w:tcBorders>
            <w:noWrap/>
            <w:vAlign w:val="center"/>
          </w:tcPr>
          <w:p w14:paraId="48670AD6">
            <w:pPr>
              <w:ind w:left="0"/>
              <w:jc w:val="center"/>
              <w:textAlignment w:val="center"/>
              <w:rPr>
                <w:color w:val="000000"/>
                <w:kern w:val="0"/>
                <w:sz w:val="22"/>
                <w:szCs w:val="22"/>
                <w:lang w:bidi="ar"/>
              </w:rPr>
            </w:pPr>
            <w:r>
              <w:rPr>
                <w:color w:val="000000"/>
                <w:kern w:val="0"/>
                <w:sz w:val="22"/>
                <w:szCs w:val="22"/>
                <w:lang w:bidi="ar"/>
              </w:rPr>
              <w:t xml:space="preserve">0.001 </w:t>
            </w:r>
          </w:p>
        </w:tc>
        <w:tc>
          <w:tcPr>
            <w:tcW w:w="1205" w:type="dxa"/>
            <w:tcBorders>
              <w:top w:val="single" w:color="auto" w:sz="4" w:space="0"/>
              <w:left w:val="nil"/>
              <w:bottom w:val="single" w:color="auto" w:sz="4" w:space="0"/>
              <w:right w:val="single" w:color="auto" w:sz="4" w:space="0"/>
            </w:tcBorders>
            <w:noWrap/>
            <w:vAlign w:val="center"/>
          </w:tcPr>
          <w:p w14:paraId="34178F9B">
            <w:pPr>
              <w:ind w:left="0"/>
              <w:jc w:val="center"/>
              <w:textAlignment w:val="center"/>
              <w:rPr>
                <w:color w:val="000000"/>
                <w:kern w:val="0"/>
                <w:sz w:val="22"/>
                <w:szCs w:val="22"/>
                <w:lang w:bidi="ar"/>
              </w:rPr>
            </w:pPr>
            <w:r>
              <w:rPr>
                <w:color w:val="000000"/>
                <w:kern w:val="0"/>
                <w:sz w:val="22"/>
                <w:szCs w:val="22"/>
                <w:lang w:bidi="ar"/>
              </w:rPr>
              <w:t xml:space="preserve">0.001 </w:t>
            </w:r>
          </w:p>
        </w:tc>
        <w:tc>
          <w:tcPr>
            <w:tcW w:w="1208" w:type="dxa"/>
            <w:tcBorders>
              <w:top w:val="single" w:color="auto" w:sz="4" w:space="0"/>
              <w:left w:val="nil"/>
              <w:bottom w:val="single" w:color="auto" w:sz="4" w:space="0"/>
              <w:right w:val="single" w:color="auto" w:sz="4" w:space="0"/>
            </w:tcBorders>
            <w:noWrap/>
            <w:vAlign w:val="center"/>
          </w:tcPr>
          <w:p w14:paraId="06ECFB50">
            <w:pPr>
              <w:ind w:left="0"/>
              <w:jc w:val="center"/>
              <w:textAlignment w:val="center"/>
              <w:rPr>
                <w:color w:val="000000"/>
                <w:kern w:val="0"/>
                <w:sz w:val="22"/>
                <w:szCs w:val="22"/>
                <w:lang w:bidi="ar"/>
              </w:rPr>
            </w:pPr>
            <w:r>
              <w:rPr>
                <w:color w:val="000000"/>
                <w:kern w:val="0"/>
                <w:sz w:val="22"/>
                <w:szCs w:val="22"/>
                <w:lang w:bidi="ar"/>
              </w:rPr>
              <w:t xml:space="preserve">0.001 </w:t>
            </w:r>
          </w:p>
        </w:tc>
        <w:tc>
          <w:tcPr>
            <w:tcW w:w="431" w:type="pct"/>
            <w:tcBorders>
              <w:top w:val="single" w:color="auto" w:sz="4" w:space="0"/>
              <w:left w:val="nil"/>
              <w:bottom w:val="single" w:color="auto" w:sz="4" w:space="0"/>
              <w:right w:val="single" w:color="auto" w:sz="4" w:space="0"/>
            </w:tcBorders>
            <w:vAlign w:val="center"/>
          </w:tcPr>
          <w:p w14:paraId="4C71E2E9">
            <w:pPr>
              <w:ind w:left="0"/>
              <w:jc w:val="center"/>
              <w:rPr>
                <w:kern w:val="0"/>
                <w:sz w:val="22"/>
                <w:szCs w:val="22"/>
              </w:rPr>
            </w:pPr>
            <w:r>
              <w:rPr>
                <w:color w:val="000000"/>
                <w:kern w:val="0"/>
                <w:sz w:val="22"/>
                <w:szCs w:val="22"/>
              </w:rPr>
              <w:t>······</w:t>
            </w:r>
          </w:p>
        </w:tc>
        <w:tc>
          <w:tcPr>
            <w:tcW w:w="1206" w:type="dxa"/>
            <w:tcBorders>
              <w:top w:val="single" w:color="auto" w:sz="4" w:space="0"/>
              <w:left w:val="single" w:color="auto" w:sz="4" w:space="0"/>
              <w:bottom w:val="single" w:color="auto" w:sz="4" w:space="0"/>
              <w:right w:val="single" w:color="auto" w:sz="4" w:space="0"/>
            </w:tcBorders>
            <w:noWrap/>
            <w:vAlign w:val="center"/>
          </w:tcPr>
          <w:p w14:paraId="481ADCFC">
            <w:pPr>
              <w:ind w:left="0"/>
              <w:jc w:val="center"/>
              <w:textAlignment w:val="center"/>
              <w:rPr>
                <w:color w:val="000000"/>
                <w:kern w:val="0"/>
                <w:sz w:val="22"/>
                <w:szCs w:val="22"/>
                <w:lang w:bidi="ar"/>
              </w:rPr>
            </w:pPr>
            <w:r>
              <w:rPr>
                <w:color w:val="000000"/>
                <w:kern w:val="0"/>
                <w:sz w:val="22"/>
                <w:szCs w:val="22"/>
                <w:lang w:bidi="ar"/>
              </w:rPr>
              <w:t xml:space="preserve">0.001 </w:t>
            </w:r>
          </w:p>
        </w:tc>
        <w:tc>
          <w:tcPr>
            <w:tcW w:w="1206" w:type="dxa"/>
            <w:tcBorders>
              <w:top w:val="single" w:color="auto" w:sz="4" w:space="0"/>
              <w:left w:val="nil"/>
              <w:bottom w:val="single" w:color="auto" w:sz="4" w:space="0"/>
              <w:right w:val="single" w:color="auto" w:sz="4" w:space="0"/>
            </w:tcBorders>
            <w:noWrap/>
            <w:vAlign w:val="center"/>
          </w:tcPr>
          <w:p w14:paraId="499C8F4E">
            <w:pPr>
              <w:ind w:left="0"/>
              <w:jc w:val="center"/>
              <w:textAlignment w:val="center"/>
              <w:rPr>
                <w:color w:val="000000"/>
                <w:kern w:val="0"/>
                <w:sz w:val="22"/>
                <w:szCs w:val="22"/>
                <w:lang w:bidi="ar"/>
              </w:rPr>
            </w:pPr>
            <w:r>
              <w:rPr>
                <w:color w:val="000000"/>
                <w:kern w:val="0"/>
                <w:sz w:val="22"/>
                <w:szCs w:val="22"/>
                <w:lang w:bidi="ar"/>
              </w:rPr>
              <w:t xml:space="preserve">0.001 </w:t>
            </w:r>
          </w:p>
        </w:tc>
        <w:tc>
          <w:tcPr>
            <w:tcW w:w="1206" w:type="dxa"/>
            <w:tcBorders>
              <w:top w:val="single" w:color="auto" w:sz="4" w:space="0"/>
              <w:left w:val="nil"/>
              <w:bottom w:val="single" w:color="auto" w:sz="4" w:space="0"/>
              <w:right w:val="single" w:color="auto" w:sz="4" w:space="0"/>
            </w:tcBorders>
            <w:noWrap/>
            <w:vAlign w:val="center"/>
          </w:tcPr>
          <w:p w14:paraId="1632826C">
            <w:pPr>
              <w:ind w:left="0"/>
              <w:jc w:val="center"/>
              <w:textAlignment w:val="center"/>
              <w:rPr>
                <w:color w:val="000000"/>
                <w:kern w:val="0"/>
                <w:sz w:val="22"/>
                <w:szCs w:val="22"/>
                <w:lang w:bidi="ar"/>
              </w:rPr>
            </w:pPr>
            <w:r>
              <w:rPr>
                <w:color w:val="000000"/>
                <w:kern w:val="0"/>
                <w:sz w:val="22"/>
                <w:szCs w:val="22"/>
                <w:lang w:bidi="ar"/>
              </w:rPr>
              <w:t xml:space="preserve">0.001 </w:t>
            </w:r>
          </w:p>
        </w:tc>
        <w:tc>
          <w:tcPr>
            <w:tcW w:w="1226" w:type="dxa"/>
            <w:tcBorders>
              <w:top w:val="single" w:color="auto" w:sz="4" w:space="0"/>
              <w:left w:val="nil"/>
              <w:bottom w:val="single" w:color="auto" w:sz="4" w:space="0"/>
              <w:right w:val="single" w:color="auto" w:sz="4" w:space="0"/>
            </w:tcBorders>
            <w:noWrap/>
            <w:vAlign w:val="center"/>
          </w:tcPr>
          <w:p w14:paraId="2AC22FF8">
            <w:pPr>
              <w:ind w:left="0"/>
              <w:jc w:val="center"/>
              <w:textAlignment w:val="center"/>
              <w:rPr>
                <w:color w:val="000000"/>
                <w:kern w:val="0"/>
                <w:sz w:val="22"/>
                <w:szCs w:val="22"/>
                <w:lang w:bidi="ar"/>
              </w:rPr>
            </w:pPr>
            <w:r>
              <w:rPr>
                <w:color w:val="000000"/>
                <w:kern w:val="0"/>
                <w:sz w:val="22"/>
                <w:szCs w:val="22"/>
                <w:lang w:bidi="ar"/>
              </w:rPr>
              <w:t xml:space="preserve">0.001 </w:t>
            </w:r>
          </w:p>
        </w:tc>
      </w:tr>
      <w:tr w14:paraId="47AD918B">
        <w:tblPrEx>
          <w:tblCellMar>
            <w:top w:w="0" w:type="dxa"/>
            <w:left w:w="108" w:type="dxa"/>
            <w:bottom w:w="0" w:type="dxa"/>
            <w:right w:w="108" w:type="dxa"/>
          </w:tblCellMar>
        </w:tblPrEx>
        <w:trPr>
          <w:trHeight w:val="442" w:hRule="atLeast"/>
        </w:trPr>
        <w:tc>
          <w:tcPr>
            <w:tcW w:w="1031" w:type="pct"/>
            <w:tcBorders>
              <w:top w:val="nil"/>
              <w:left w:val="single" w:color="auto" w:sz="4" w:space="0"/>
              <w:bottom w:val="single" w:color="auto" w:sz="4" w:space="0"/>
              <w:right w:val="single" w:color="auto" w:sz="4" w:space="0"/>
            </w:tcBorders>
            <w:noWrap/>
            <w:vAlign w:val="center"/>
          </w:tcPr>
          <w:p w14:paraId="65E9C3AC">
            <w:pPr>
              <w:ind w:left="0"/>
              <w:jc w:val="center"/>
              <w:rPr>
                <w:rFonts w:hint="eastAsia" w:ascii="宋体" w:hAnsi="宋体" w:cs="宋体"/>
                <w:color w:val="000000"/>
                <w:kern w:val="0"/>
                <w:sz w:val="22"/>
                <w:szCs w:val="22"/>
              </w:rPr>
            </w:pPr>
            <w:r>
              <w:rPr>
                <w:rFonts w:hint="eastAsia" w:ascii="宋体" w:hAnsi="宋体" w:cs="宋体"/>
                <w:color w:val="000000"/>
                <w:kern w:val="0"/>
                <w:sz w:val="22"/>
                <w:szCs w:val="22"/>
              </w:rPr>
              <w:t>标准误差不确定度</w:t>
            </w:r>
          </w:p>
        </w:tc>
        <w:tc>
          <w:tcPr>
            <w:tcW w:w="348" w:type="pct"/>
            <w:tcBorders>
              <w:top w:val="nil"/>
              <w:left w:val="nil"/>
              <w:bottom w:val="nil"/>
              <w:right w:val="nil"/>
            </w:tcBorders>
            <w:noWrap/>
            <w:vAlign w:val="center"/>
          </w:tcPr>
          <w:p w14:paraId="54047F6A">
            <w:pPr>
              <w:ind w:left="0"/>
              <w:jc w:val="center"/>
              <w:rPr>
                <w:rFonts w:hint="eastAsia" w:ascii="宋体" w:hAnsi="宋体" w:cs="宋体"/>
                <w:color w:val="000000"/>
                <w:kern w:val="0"/>
                <w:sz w:val="22"/>
                <w:szCs w:val="22"/>
              </w:rPr>
            </w:pPr>
            <w:r>
              <w:rPr>
                <w:rFonts w:ascii="宋体" w:hAnsi="宋体" w:cs="宋体"/>
                <w:color w:val="000000"/>
                <w:kern w:val="0"/>
                <w:sz w:val="22"/>
                <w:szCs w:val="22"/>
              </w:rPr>
              <w:drawing>
                <wp:anchor distT="0" distB="0" distL="114300" distR="114300" simplePos="0" relativeHeight="251691008" behindDoc="0" locked="0" layoutInCell="1" allowOverlap="1">
                  <wp:simplePos x="0" y="0"/>
                  <wp:positionH relativeFrom="column">
                    <wp:posOffset>33020</wp:posOffset>
                  </wp:positionH>
                  <wp:positionV relativeFrom="paragraph">
                    <wp:posOffset>2540</wp:posOffset>
                  </wp:positionV>
                  <wp:extent cx="387350" cy="228600"/>
                  <wp:effectExtent l="0" t="0" r="12700" b="0"/>
                  <wp:wrapNone/>
                  <wp:docPr id="30"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7"/>
                          <pic:cNvPicPr>
                            <a:picLocks noChangeAspect="1" noChangeArrowheads="1"/>
                          </pic:cNvPicPr>
                        </pic:nvPicPr>
                        <pic:blipFill>
                          <a:blip r:embed="rId92">
                            <a:extLst>
                              <a:ext uri="{28A0092B-C50C-407E-A947-70E740481C1C}">
                                <a14:useLocalDpi xmlns:a14="http://schemas.microsoft.com/office/drawing/2010/main" val="0"/>
                              </a:ext>
                            </a:extLst>
                          </a:blip>
                          <a:srcRect/>
                          <a:stretch>
                            <a:fillRect/>
                          </a:stretch>
                        </pic:blipFill>
                        <pic:spPr>
                          <a:xfrm>
                            <a:off x="0" y="0"/>
                            <a:ext cx="387350" cy="228600"/>
                          </a:xfrm>
                          <a:prstGeom prst="rect">
                            <a:avLst/>
                          </a:prstGeom>
                          <a:noFill/>
                          <a:ln>
                            <a:noFill/>
                          </a:ln>
                        </pic:spPr>
                      </pic:pic>
                    </a:graphicData>
                  </a:graphic>
                </wp:anchor>
              </w:drawing>
            </w:r>
          </w:p>
        </w:tc>
        <w:tc>
          <w:tcPr>
            <w:tcW w:w="156" w:type="pct"/>
            <w:tcBorders>
              <w:top w:val="nil"/>
              <w:left w:val="single" w:color="auto" w:sz="4" w:space="0"/>
              <w:bottom w:val="single" w:color="auto" w:sz="4" w:space="0"/>
              <w:right w:val="single" w:color="auto" w:sz="4" w:space="0"/>
            </w:tcBorders>
            <w:noWrap/>
            <w:vAlign w:val="center"/>
          </w:tcPr>
          <w:p w14:paraId="4B98EEDB">
            <w:pPr>
              <w:ind w:left="0"/>
              <w:jc w:val="center"/>
              <w:rPr>
                <w:color w:val="000000"/>
                <w:kern w:val="0"/>
                <w:sz w:val="22"/>
                <w:szCs w:val="22"/>
              </w:rPr>
            </w:pPr>
            <w:r>
              <w:rPr>
                <w:color w:val="000000"/>
                <w:kern w:val="0"/>
                <w:sz w:val="22"/>
                <w:szCs w:val="22"/>
              </w:rPr>
              <w:t>kg</w:t>
            </w:r>
          </w:p>
        </w:tc>
        <w:tc>
          <w:tcPr>
            <w:tcW w:w="1205" w:type="dxa"/>
            <w:tcBorders>
              <w:top w:val="nil"/>
              <w:left w:val="nil"/>
              <w:bottom w:val="single" w:color="auto" w:sz="4" w:space="0"/>
              <w:right w:val="single" w:color="auto" w:sz="4" w:space="0"/>
            </w:tcBorders>
            <w:noWrap/>
            <w:vAlign w:val="center"/>
          </w:tcPr>
          <w:p w14:paraId="4510303C">
            <w:pPr>
              <w:ind w:left="0"/>
              <w:jc w:val="center"/>
              <w:textAlignment w:val="center"/>
              <w:rPr>
                <w:color w:val="000000"/>
                <w:kern w:val="0"/>
                <w:sz w:val="22"/>
                <w:szCs w:val="22"/>
                <w:lang w:bidi="ar"/>
              </w:rPr>
            </w:pPr>
            <w:r>
              <w:rPr>
                <w:color w:val="000000"/>
                <w:kern w:val="0"/>
                <w:sz w:val="22"/>
                <w:szCs w:val="22"/>
                <w:lang w:bidi="ar"/>
              </w:rPr>
              <w:t xml:space="preserve">0.061 </w:t>
            </w:r>
          </w:p>
        </w:tc>
        <w:tc>
          <w:tcPr>
            <w:tcW w:w="1205" w:type="dxa"/>
            <w:tcBorders>
              <w:top w:val="nil"/>
              <w:left w:val="nil"/>
              <w:bottom w:val="single" w:color="auto" w:sz="4" w:space="0"/>
              <w:right w:val="single" w:color="auto" w:sz="4" w:space="0"/>
            </w:tcBorders>
            <w:noWrap/>
            <w:vAlign w:val="center"/>
          </w:tcPr>
          <w:p w14:paraId="19173E1F">
            <w:pPr>
              <w:ind w:left="0"/>
              <w:jc w:val="center"/>
              <w:textAlignment w:val="center"/>
              <w:rPr>
                <w:color w:val="000000"/>
                <w:kern w:val="0"/>
                <w:sz w:val="22"/>
                <w:szCs w:val="22"/>
                <w:lang w:bidi="ar"/>
              </w:rPr>
            </w:pPr>
            <w:r>
              <w:rPr>
                <w:color w:val="000000"/>
                <w:kern w:val="0"/>
                <w:sz w:val="22"/>
                <w:szCs w:val="22"/>
                <w:lang w:bidi="ar"/>
              </w:rPr>
              <w:t xml:space="preserve">0.062 </w:t>
            </w:r>
          </w:p>
        </w:tc>
        <w:tc>
          <w:tcPr>
            <w:tcW w:w="1208" w:type="dxa"/>
            <w:tcBorders>
              <w:top w:val="nil"/>
              <w:left w:val="nil"/>
              <w:bottom w:val="single" w:color="auto" w:sz="4" w:space="0"/>
              <w:right w:val="single" w:color="auto" w:sz="4" w:space="0"/>
            </w:tcBorders>
            <w:noWrap/>
            <w:vAlign w:val="center"/>
          </w:tcPr>
          <w:p w14:paraId="2BB6FA50">
            <w:pPr>
              <w:ind w:left="0"/>
              <w:jc w:val="center"/>
              <w:textAlignment w:val="center"/>
              <w:rPr>
                <w:color w:val="000000"/>
                <w:kern w:val="0"/>
                <w:sz w:val="22"/>
                <w:szCs w:val="22"/>
                <w:lang w:bidi="ar"/>
              </w:rPr>
            </w:pPr>
            <w:r>
              <w:rPr>
                <w:color w:val="000000"/>
                <w:kern w:val="0"/>
                <w:sz w:val="22"/>
                <w:szCs w:val="22"/>
                <w:lang w:bidi="ar"/>
              </w:rPr>
              <w:t xml:space="preserve">0.065 </w:t>
            </w:r>
          </w:p>
        </w:tc>
        <w:tc>
          <w:tcPr>
            <w:tcW w:w="431" w:type="pct"/>
            <w:tcBorders>
              <w:top w:val="single" w:color="auto" w:sz="4" w:space="0"/>
              <w:left w:val="nil"/>
              <w:bottom w:val="single" w:color="auto" w:sz="4" w:space="0"/>
              <w:right w:val="single" w:color="auto" w:sz="4" w:space="0"/>
            </w:tcBorders>
            <w:vAlign w:val="center"/>
          </w:tcPr>
          <w:p w14:paraId="25AD9ABE">
            <w:pPr>
              <w:ind w:left="0"/>
              <w:jc w:val="center"/>
              <w:rPr>
                <w:color w:val="000000"/>
                <w:kern w:val="0"/>
                <w:sz w:val="22"/>
                <w:szCs w:val="22"/>
              </w:rPr>
            </w:pPr>
            <w:r>
              <w:rPr>
                <w:color w:val="000000"/>
                <w:kern w:val="0"/>
                <w:sz w:val="22"/>
                <w:szCs w:val="22"/>
              </w:rPr>
              <w:t>······</w:t>
            </w:r>
          </w:p>
        </w:tc>
        <w:tc>
          <w:tcPr>
            <w:tcW w:w="1206" w:type="dxa"/>
            <w:tcBorders>
              <w:top w:val="single" w:color="auto" w:sz="4" w:space="0"/>
              <w:left w:val="single" w:color="auto" w:sz="4" w:space="0"/>
              <w:bottom w:val="single" w:color="auto" w:sz="4" w:space="0"/>
              <w:right w:val="single" w:color="auto" w:sz="4" w:space="0"/>
            </w:tcBorders>
            <w:noWrap/>
            <w:vAlign w:val="center"/>
          </w:tcPr>
          <w:p w14:paraId="10163009">
            <w:pPr>
              <w:ind w:left="0"/>
              <w:jc w:val="center"/>
              <w:textAlignment w:val="center"/>
              <w:rPr>
                <w:color w:val="000000"/>
                <w:kern w:val="0"/>
                <w:sz w:val="22"/>
                <w:szCs w:val="22"/>
                <w:lang w:bidi="ar"/>
              </w:rPr>
            </w:pPr>
            <w:r>
              <w:rPr>
                <w:color w:val="000000"/>
                <w:kern w:val="0"/>
                <w:sz w:val="22"/>
                <w:szCs w:val="22"/>
                <w:lang w:bidi="ar"/>
              </w:rPr>
              <w:t xml:space="preserve">0.103 </w:t>
            </w:r>
          </w:p>
        </w:tc>
        <w:tc>
          <w:tcPr>
            <w:tcW w:w="1206" w:type="dxa"/>
            <w:tcBorders>
              <w:top w:val="nil"/>
              <w:left w:val="nil"/>
              <w:bottom w:val="single" w:color="auto" w:sz="4" w:space="0"/>
              <w:right w:val="single" w:color="auto" w:sz="4" w:space="0"/>
            </w:tcBorders>
            <w:noWrap/>
            <w:vAlign w:val="center"/>
          </w:tcPr>
          <w:p w14:paraId="3E3D87E9">
            <w:pPr>
              <w:ind w:left="0"/>
              <w:jc w:val="center"/>
              <w:textAlignment w:val="center"/>
              <w:rPr>
                <w:color w:val="000000"/>
                <w:kern w:val="0"/>
                <w:sz w:val="22"/>
                <w:szCs w:val="22"/>
                <w:lang w:bidi="ar"/>
              </w:rPr>
            </w:pPr>
            <w:r>
              <w:rPr>
                <w:color w:val="000000"/>
                <w:kern w:val="0"/>
                <w:sz w:val="22"/>
                <w:szCs w:val="22"/>
                <w:lang w:bidi="ar"/>
              </w:rPr>
              <w:t xml:space="preserve">0.114 </w:t>
            </w:r>
          </w:p>
        </w:tc>
        <w:tc>
          <w:tcPr>
            <w:tcW w:w="1206" w:type="dxa"/>
            <w:tcBorders>
              <w:top w:val="nil"/>
              <w:left w:val="nil"/>
              <w:bottom w:val="single" w:color="auto" w:sz="4" w:space="0"/>
              <w:right w:val="single" w:color="auto" w:sz="4" w:space="0"/>
            </w:tcBorders>
            <w:noWrap/>
            <w:vAlign w:val="center"/>
          </w:tcPr>
          <w:p w14:paraId="5993C9CA">
            <w:pPr>
              <w:ind w:left="0"/>
              <w:jc w:val="center"/>
              <w:textAlignment w:val="center"/>
              <w:rPr>
                <w:color w:val="000000"/>
                <w:kern w:val="0"/>
                <w:sz w:val="22"/>
                <w:szCs w:val="22"/>
                <w:lang w:bidi="ar"/>
              </w:rPr>
            </w:pPr>
            <w:r>
              <w:rPr>
                <w:color w:val="000000"/>
                <w:kern w:val="0"/>
                <w:sz w:val="22"/>
                <w:szCs w:val="22"/>
                <w:lang w:bidi="ar"/>
              </w:rPr>
              <w:t xml:space="preserve">0.124 </w:t>
            </w:r>
          </w:p>
        </w:tc>
        <w:tc>
          <w:tcPr>
            <w:tcW w:w="1226" w:type="dxa"/>
            <w:tcBorders>
              <w:top w:val="nil"/>
              <w:left w:val="nil"/>
              <w:bottom w:val="single" w:color="auto" w:sz="4" w:space="0"/>
              <w:right w:val="single" w:color="auto" w:sz="4" w:space="0"/>
            </w:tcBorders>
            <w:noWrap/>
            <w:vAlign w:val="center"/>
          </w:tcPr>
          <w:p w14:paraId="15B1238D">
            <w:pPr>
              <w:ind w:left="0"/>
              <w:jc w:val="center"/>
              <w:textAlignment w:val="center"/>
              <w:rPr>
                <w:color w:val="000000"/>
                <w:kern w:val="0"/>
                <w:sz w:val="22"/>
                <w:szCs w:val="22"/>
                <w:lang w:bidi="ar"/>
              </w:rPr>
            </w:pPr>
            <w:r>
              <w:rPr>
                <w:color w:val="000000"/>
                <w:kern w:val="0"/>
                <w:sz w:val="22"/>
                <w:szCs w:val="22"/>
                <w:lang w:bidi="ar"/>
              </w:rPr>
              <w:t xml:space="preserve">0.135 </w:t>
            </w:r>
          </w:p>
        </w:tc>
      </w:tr>
      <w:tr w14:paraId="2FA6FA7C">
        <w:tblPrEx>
          <w:tblCellMar>
            <w:top w:w="0" w:type="dxa"/>
            <w:left w:w="108" w:type="dxa"/>
            <w:bottom w:w="0" w:type="dxa"/>
            <w:right w:w="108" w:type="dxa"/>
          </w:tblCellMar>
        </w:tblPrEx>
        <w:trPr>
          <w:trHeight w:val="442" w:hRule="atLeast"/>
        </w:trPr>
        <w:tc>
          <w:tcPr>
            <w:tcW w:w="1031" w:type="pct"/>
            <w:tcBorders>
              <w:top w:val="nil"/>
              <w:left w:val="single" w:color="auto" w:sz="4" w:space="0"/>
              <w:bottom w:val="single" w:color="auto" w:sz="4" w:space="0"/>
              <w:right w:val="single" w:color="auto" w:sz="4" w:space="0"/>
            </w:tcBorders>
            <w:noWrap/>
            <w:vAlign w:val="center"/>
          </w:tcPr>
          <w:p w14:paraId="68B5599C">
            <w:pPr>
              <w:ind w:left="0"/>
              <w:jc w:val="center"/>
              <w:rPr>
                <w:i/>
                <w:iCs/>
                <w:color w:val="000000"/>
                <w:kern w:val="0"/>
                <w:sz w:val="22"/>
                <w:szCs w:val="22"/>
              </w:rPr>
            </w:pPr>
            <w:r>
              <w:rPr>
                <w:i/>
                <w:iCs/>
                <w:color w:val="000000"/>
                <w:kern w:val="0"/>
                <w:sz w:val="22"/>
                <w:szCs w:val="22"/>
              </w:rPr>
              <w:t>k</w:t>
            </w:r>
          </w:p>
        </w:tc>
        <w:tc>
          <w:tcPr>
            <w:tcW w:w="348" w:type="pct"/>
            <w:tcBorders>
              <w:top w:val="single" w:color="auto" w:sz="4" w:space="0"/>
              <w:left w:val="nil"/>
              <w:bottom w:val="single" w:color="auto" w:sz="4" w:space="0"/>
              <w:right w:val="single" w:color="auto" w:sz="4" w:space="0"/>
            </w:tcBorders>
            <w:noWrap/>
            <w:vAlign w:val="center"/>
          </w:tcPr>
          <w:p w14:paraId="103BA6E4">
            <w:pPr>
              <w:ind w:left="0"/>
              <w:jc w:val="center"/>
              <w:rPr>
                <w:color w:val="000000"/>
                <w:kern w:val="0"/>
                <w:sz w:val="22"/>
                <w:szCs w:val="22"/>
              </w:rPr>
            </w:pPr>
          </w:p>
        </w:tc>
        <w:tc>
          <w:tcPr>
            <w:tcW w:w="156" w:type="pct"/>
            <w:tcBorders>
              <w:top w:val="nil"/>
              <w:left w:val="nil"/>
              <w:bottom w:val="single" w:color="auto" w:sz="4" w:space="0"/>
              <w:right w:val="single" w:color="auto" w:sz="4" w:space="0"/>
            </w:tcBorders>
            <w:noWrap/>
            <w:vAlign w:val="center"/>
          </w:tcPr>
          <w:p w14:paraId="5B7E3DE9">
            <w:pPr>
              <w:ind w:left="0"/>
              <w:jc w:val="center"/>
              <w:rPr>
                <w:color w:val="000000"/>
                <w:kern w:val="0"/>
                <w:sz w:val="22"/>
                <w:szCs w:val="22"/>
              </w:rPr>
            </w:pPr>
          </w:p>
        </w:tc>
        <w:tc>
          <w:tcPr>
            <w:tcW w:w="1205" w:type="dxa"/>
            <w:tcBorders>
              <w:top w:val="nil"/>
              <w:left w:val="nil"/>
              <w:bottom w:val="single" w:color="auto" w:sz="4" w:space="0"/>
              <w:right w:val="single" w:color="auto" w:sz="4" w:space="0"/>
            </w:tcBorders>
            <w:noWrap/>
            <w:vAlign w:val="center"/>
          </w:tcPr>
          <w:p w14:paraId="1519FF9F">
            <w:pPr>
              <w:ind w:left="0"/>
              <w:jc w:val="center"/>
              <w:textAlignment w:val="center"/>
              <w:rPr>
                <w:color w:val="000000"/>
                <w:kern w:val="0"/>
                <w:sz w:val="22"/>
                <w:szCs w:val="22"/>
                <w:lang w:bidi="ar"/>
              </w:rPr>
            </w:pPr>
            <w:r>
              <w:rPr>
                <w:color w:val="000000"/>
                <w:kern w:val="0"/>
                <w:sz w:val="22"/>
                <w:szCs w:val="22"/>
                <w:lang w:bidi="ar"/>
              </w:rPr>
              <w:t xml:space="preserve">2 </w:t>
            </w:r>
          </w:p>
        </w:tc>
        <w:tc>
          <w:tcPr>
            <w:tcW w:w="1205" w:type="dxa"/>
            <w:tcBorders>
              <w:top w:val="nil"/>
              <w:left w:val="nil"/>
              <w:bottom w:val="single" w:color="auto" w:sz="4" w:space="0"/>
              <w:right w:val="single" w:color="auto" w:sz="4" w:space="0"/>
            </w:tcBorders>
            <w:noWrap/>
            <w:vAlign w:val="center"/>
          </w:tcPr>
          <w:p w14:paraId="2170206D">
            <w:pPr>
              <w:ind w:left="0"/>
              <w:jc w:val="center"/>
              <w:textAlignment w:val="center"/>
              <w:rPr>
                <w:color w:val="000000"/>
                <w:kern w:val="0"/>
                <w:sz w:val="22"/>
                <w:szCs w:val="22"/>
                <w:lang w:bidi="ar"/>
              </w:rPr>
            </w:pPr>
            <w:r>
              <w:rPr>
                <w:color w:val="000000"/>
                <w:kern w:val="0"/>
                <w:sz w:val="22"/>
                <w:szCs w:val="22"/>
                <w:lang w:bidi="ar"/>
              </w:rPr>
              <w:t xml:space="preserve">2 </w:t>
            </w:r>
          </w:p>
        </w:tc>
        <w:tc>
          <w:tcPr>
            <w:tcW w:w="1208" w:type="dxa"/>
            <w:tcBorders>
              <w:top w:val="nil"/>
              <w:left w:val="nil"/>
              <w:bottom w:val="single" w:color="auto" w:sz="4" w:space="0"/>
              <w:right w:val="single" w:color="auto" w:sz="4" w:space="0"/>
            </w:tcBorders>
            <w:noWrap/>
            <w:vAlign w:val="center"/>
          </w:tcPr>
          <w:p w14:paraId="6598A8C6">
            <w:pPr>
              <w:ind w:left="0"/>
              <w:jc w:val="center"/>
              <w:textAlignment w:val="center"/>
              <w:rPr>
                <w:color w:val="000000"/>
                <w:kern w:val="0"/>
                <w:sz w:val="22"/>
                <w:szCs w:val="22"/>
                <w:lang w:bidi="ar"/>
              </w:rPr>
            </w:pPr>
            <w:r>
              <w:rPr>
                <w:color w:val="000000"/>
                <w:kern w:val="0"/>
                <w:sz w:val="22"/>
                <w:szCs w:val="22"/>
                <w:lang w:bidi="ar"/>
              </w:rPr>
              <w:t xml:space="preserve">2 </w:t>
            </w:r>
          </w:p>
        </w:tc>
        <w:tc>
          <w:tcPr>
            <w:tcW w:w="431" w:type="pct"/>
            <w:tcBorders>
              <w:top w:val="single" w:color="auto" w:sz="4" w:space="0"/>
              <w:left w:val="nil"/>
              <w:bottom w:val="single" w:color="auto" w:sz="4" w:space="0"/>
              <w:right w:val="single" w:color="auto" w:sz="4" w:space="0"/>
            </w:tcBorders>
            <w:vAlign w:val="center"/>
          </w:tcPr>
          <w:p w14:paraId="2C8F9018">
            <w:pPr>
              <w:ind w:left="0"/>
              <w:jc w:val="center"/>
              <w:rPr>
                <w:kern w:val="0"/>
                <w:sz w:val="22"/>
                <w:szCs w:val="22"/>
              </w:rPr>
            </w:pPr>
            <w:r>
              <w:rPr>
                <w:color w:val="000000"/>
                <w:kern w:val="0"/>
                <w:sz w:val="22"/>
                <w:szCs w:val="22"/>
              </w:rPr>
              <w:t>······</w:t>
            </w:r>
          </w:p>
        </w:tc>
        <w:tc>
          <w:tcPr>
            <w:tcW w:w="1206" w:type="dxa"/>
            <w:tcBorders>
              <w:top w:val="single" w:color="auto" w:sz="4" w:space="0"/>
              <w:left w:val="single" w:color="auto" w:sz="4" w:space="0"/>
              <w:bottom w:val="single" w:color="auto" w:sz="4" w:space="0"/>
              <w:right w:val="single" w:color="auto" w:sz="4" w:space="0"/>
            </w:tcBorders>
            <w:noWrap/>
            <w:vAlign w:val="center"/>
          </w:tcPr>
          <w:p w14:paraId="1A97AC3B">
            <w:pPr>
              <w:ind w:left="0"/>
              <w:jc w:val="center"/>
              <w:textAlignment w:val="center"/>
              <w:rPr>
                <w:color w:val="000000"/>
                <w:kern w:val="0"/>
                <w:sz w:val="22"/>
                <w:szCs w:val="22"/>
                <w:lang w:bidi="ar"/>
              </w:rPr>
            </w:pPr>
            <w:r>
              <w:rPr>
                <w:color w:val="000000"/>
                <w:kern w:val="0"/>
                <w:sz w:val="22"/>
                <w:szCs w:val="22"/>
                <w:lang w:bidi="ar"/>
              </w:rPr>
              <w:t xml:space="preserve">2 </w:t>
            </w:r>
          </w:p>
        </w:tc>
        <w:tc>
          <w:tcPr>
            <w:tcW w:w="1206" w:type="dxa"/>
            <w:tcBorders>
              <w:top w:val="nil"/>
              <w:left w:val="nil"/>
              <w:bottom w:val="single" w:color="auto" w:sz="4" w:space="0"/>
              <w:right w:val="single" w:color="auto" w:sz="4" w:space="0"/>
            </w:tcBorders>
            <w:noWrap/>
            <w:vAlign w:val="center"/>
          </w:tcPr>
          <w:p w14:paraId="47B72029">
            <w:pPr>
              <w:ind w:left="0"/>
              <w:jc w:val="center"/>
              <w:textAlignment w:val="center"/>
              <w:rPr>
                <w:color w:val="000000"/>
                <w:kern w:val="0"/>
                <w:sz w:val="22"/>
                <w:szCs w:val="22"/>
                <w:lang w:bidi="ar"/>
              </w:rPr>
            </w:pPr>
            <w:r>
              <w:rPr>
                <w:color w:val="000000"/>
                <w:kern w:val="0"/>
                <w:sz w:val="22"/>
                <w:szCs w:val="22"/>
                <w:lang w:bidi="ar"/>
              </w:rPr>
              <w:t xml:space="preserve">2 </w:t>
            </w:r>
          </w:p>
        </w:tc>
        <w:tc>
          <w:tcPr>
            <w:tcW w:w="1206" w:type="dxa"/>
            <w:tcBorders>
              <w:top w:val="nil"/>
              <w:left w:val="nil"/>
              <w:bottom w:val="single" w:color="auto" w:sz="4" w:space="0"/>
              <w:right w:val="single" w:color="auto" w:sz="4" w:space="0"/>
            </w:tcBorders>
            <w:noWrap/>
            <w:vAlign w:val="center"/>
          </w:tcPr>
          <w:p w14:paraId="57599EBC">
            <w:pPr>
              <w:ind w:left="0"/>
              <w:jc w:val="center"/>
              <w:textAlignment w:val="center"/>
              <w:rPr>
                <w:color w:val="000000"/>
                <w:kern w:val="0"/>
                <w:sz w:val="22"/>
                <w:szCs w:val="22"/>
                <w:lang w:bidi="ar"/>
              </w:rPr>
            </w:pPr>
            <w:r>
              <w:rPr>
                <w:color w:val="000000"/>
                <w:kern w:val="0"/>
                <w:sz w:val="22"/>
                <w:szCs w:val="22"/>
                <w:lang w:bidi="ar"/>
              </w:rPr>
              <w:t xml:space="preserve">2 </w:t>
            </w:r>
          </w:p>
        </w:tc>
        <w:tc>
          <w:tcPr>
            <w:tcW w:w="1226" w:type="dxa"/>
            <w:tcBorders>
              <w:top w:val="nil"/>
              <w:left w:val="nil"/>
              <w:bottom w:val="single" w:color="auto" w:sz="4" w:space="0"/>
              <w:right w:val="single" w:color="auto" w:sz="4" w:space="0"/>
            </w:tcBorders>
            <w:noWrap/>
            <w:vAlign w:val="center"/>
          </w:tcPr>
          <w:p w14:paraId="242B63F9">
            <w:pPr>
              <w:ind w:left="0"/>
              <w:jc w:val="center"/>
              <w:textAlignment w:val="center"/>
              <w:rPr>
                <w:color w:val="000000"/>
                <w:kern w:val="0"/>
                <w:sz w:val="22"/>
                <w:szCs w:val="22"/>
                <w:lang w:bidi="ar"/>
              </w:rPr>
            </w:pPr>
            <w:r>
              <w:rPr>
                <w:color w:val="000000"/>
                <w:kern w:val="0"/>
                <w:sz w:val="22"/>
                <w:szCs w:val="22"/>
                <w:lang w:bidi="ar"/>
              </w:rPr>
              <w:t xml:space="preserve">2 </w:t>
            </w:r>
          </w:p>
        </w:tc>
      </w:tr>
      <w:tr w14:paraId="0F2E6F98">
        <w:tblPrEx>
          <w:tblCellMar>
            <w:top w:w="0" w:type="dxa"/>
            <w:left w:w="108" w:type="dxa"/>
            <w:bottom w:w="0" w:type="dxa"/>
            <w:right w:w="108" w:type="dxa"/>
          </w:tblCellMar>
        </w:tblPrEx>
        <w:trPr>
          <w:trHeight w:val="442" w:hRule="atLeast"/>
        </w:trPr>
        <w:tc>
          <w:tcPr>
            <w:tcW w:w="1031" w:type="pct"/>
            <w:tcBorders>
              <w:top w:val="nil"/>
              <w:left w:val="single" w:color="auto" w:sz="4" w:space="0"/>
              <w:bottom w:val="single" w:color="auto" w:sz="4" w:space="0"/>
              <w:right w:val="single" w:color="auto" w:sz="4" w:space="0"/>
            </w:tcBorders>
            <w:noWrap/>
            <w:vAlign w:val="center"/>
          </w:tcPr>
          <w:p w14:paraId="33E43546">
            <w:pPr>
              <w:ind w:left="0"/>
              <w:jc w:val="center"/>
              <w:rPr>
                <w:color w:val="000000"/>
                <w:kern w:val="0"/>
                <w:sz w:val="22"/>
                <w:szCs w:val="22"/>
              </w:rPr>
            </w:pPr>
            <w:r>
              <w:rPr>
                <w:rFonts w:hint="eastAsia" w:ascii="宋体" w:hAnsi="宋体"/>
                <w:color w:val="000000"/>
                <w:kern w:val="0"/>
                <w:sz w:val="22"/>
                <w:szCs w:val="22"/>
              </w:rPr>
              <w:t>扩展不确定度</w:t>
            </w:r>
            <w:r>
              <w:rPr>
                <w:i/>
                <w:iCs/>
                <w:color w:val="000000"/>
                <w:kern w:val="0"/>
                <w:sz w:val="22"/>
                <w:szCs w:val="22"/>
              </w:rPr>
              <w:t>U</w:t>
            </w:r>
          </w:p>
        </w:tc>
        <w:tc>
          <w:tcPr>
            <w:tcW w:w="348" w:type="pct"/>
            <w:tcBorders>
              <w:top w:val="nil"/>
              <w:left w:val="nil"/>
              <w:bottom w:val="single" w:color="auto" w:sz="4" w:space="0"/>
              <w:right w:val="single" w:color="auto" w:sz="4" w:space="0"/>
            </w:tcBorders>
            <w:noWrap/>
            <w:vAlign w:val="center"/>
          </w:tcPr>
          <w:p w14:paraId="54DC8A2E">
            <w:pPr>
              <w:ind w:left="0"/>
              <w:jc w:val="center"/>
              <w:rPr>
                <w:color w:val="000000"/>
                <w:kern w:val="0"/>
                <w:sz w:val="22"/>
                <w:szCs w:val="22"/>
              </w:rPr>
            </w:pPr>
          </w:p>
        </w:tc>
        <w:tc>
          <w:tcPr>
            <w:tcW w:w="156" w:type="pct"/>
            <w:tcBorders>
              <w:top w:val="nil"/>
              <w:left w:val="nil"/>
              <w:bottom w:val="single" w:color="auto" w:sz="4" w:space="0"/>
              <w:right w:val="single" w:color="auto" w:sz="4" w:space="0"/>
            </w:tcBorders>
            <w:noWrap/>
            <w:vAlign w:val="center"/>
          </w:tcPr>
          <w:p w14:paraId="2BADF90E">
            <w:pPr>
              <w:ind w:left="0"/>
              <w:jc w:val="center"/>
              <w:rPr>
                <w:color w:val="000000"/>
                <w:kern w:val="0"/>
                <w:sz w:val="22"/>
                <w:szCs w:val="22"/>
              </w:rPr>
            </w:pPr>
            <w:r>
              <w:rPr>
                <w:color w:val="000000"/>
                <w:kern w:val="0"/>
                <w:sz w:val="22"/>
                <w:szCs w:val="22"/>
              </w:rPr>
              <w:t>kg</w:t>
            </w:r>
          </w:p>
        </w:tc>
        <w:tc>
          <w:tcPr>
            <w:tcW w:w="1205" w:type="dxa"/>
            <w:tcBorders>
              <w:top w:val="nil"/>
              <w:left w:val="nil"/>
              <w:bottom w:val="single" w:color="auto" w:sz="4" w:space="0"/>
              <w:right w:val="single" w:color="auto" w:sz="4" w:space="0"/>
            </w:tcBorders>
            <w:noWrap/>
            <w:vAlign w:val="center"/>
          </w:tcPr>
          <w:p w14:paraId="4C38489B">
            <w:pPr>
              <w:ind w:left="0"/>
              <w:jc w:val="center"/>
              <w:textAlignment w:val="center"/>
              <w:rPr>
                <w:color w:val="000000"/>
                <w:kern w:val="0"/>
                <w:sz w:val="22"/>
                <w:szCs w:val="22"/>
                <w:lang w:bidi="ar"/>
              </w:rPr>
            </w:pPr>
            <w:r>
              <w:rPr>
                <w:color w:val="000000"/>
                <w:kern w:val="0"/>
                <w:sz w:val="22"/>
                <w:szCs w:val="22"/>
                <w:lang w:bidi="ar"/>
              </w:rPr>
              <w:t xml:space="preserve">0.122 </w:t>
            </w:r>
          </w:p>
        </w:tc>
        <w:tc>
          <w:tcPr>
            <w:tcW w:w="1205" w:type="dxa"/>
            <w:tcBorders>
              <w:top w:val="nil"/>
              <w:left w:val="nil"/>
              <w:bottom w:val="single" w:color="auto" w:sz="4" w:space="0"/>
              <w:right w:val="single" w:color="auto" w:sz="4" w:space="0"/>
            </w:tcBorders>
            <w:noWrap/>
            <w:vAlign w:val="center"/>
          </w:tcPr>
          <w:p w14:paraId="264636D4">
            <w:pPr>
              <w:ind w:left="0"/>
              <w:jc w:val="center"/>
              <w:textAlignment w:val="center"/>
              <w:rPr>
                <w:color w:val="000000"/>
                <w:kern w:val="0"/>
                <w:sz w:val="22"/>
                <w:szCs w:val="22"/>
                <w:lang w:bidi="ar"/>
              </w:rPr>
            </w:pPr>
            <w:r>
              <w:rPr>
                <w:color w:val="000000"/>
                <w:kern w:val="0"/>
                <w:sz w:val="22"/>
                <w:szCs w:val="22"/>
                <w:lang w:bidi="ar"/>
              </w:rPr>
              <w:t xml:space="preserve">0.123 </w:t>
            </w:r>
          </w:p>
        </w:tc>
        <w:tc>
          <w:tcPr>
            <w:tcW w:w="1208" w:type="dxa"/>
            <w:tcBorders>
              <w:top w:val="nil"/>
              <w:left w:val="nil"/>
              <w:bottom w:val="single" w:color="auto" w:sz="4" w:space="0"/>
              <w:right w:val="single" w:color="auto" w:sz="4" w:space="0"/>
            </w:tcBorders>
            <w:noWrap/>
            <w:vAlign w:val="center"/>
          </w:tcPr>
          <w:p w14:paraId="6EB238A8">
            <w:pPr>
              <w:ind w:left="0"/>
              <w:jc w:val="center"/>
              <w:textAlignment w:val="center"/>
              <w:rPr>
                <w:color w:val="000000"/>
                <w:kern w:val="0"/>
                <w:sz w:val="22"/>
                <w:szCs w:val="22"/>
                <w:lang w:bidi="ar"/>
              </w:rPr>
            </w:pPr>
            <w:r>
              <w:rPr>
                <w:color w:val="000000"/>
                <w:kern w:val="0"/>
                <w:sz w:val="22"/>
                <w:szCs w:val="22"/>
                <w:lang w:bidi="ar"/>
              </w:rPr>
              <w:t xml:space="preserve">0.129 </w:t>
            </w:r>
          </w:p>
        </w:tc>
        <w:tc>
          <w:tcPr>
            <w:tcW w:w="431" w:type="pct"/>
            <w:tcBorders>
              <w:top w:val="single" w:color="auto" w:sz="4" w:space="0"/>
              <w:left w:val="nil"/>
              <w:bottom w:val="single" w:color="auto" w:sz="4" w:space="0"/>
              <w:right w:val="single" w:color="auto" w:sz="4" w:space="0"/>
            </w:tcBorders>
            <w:vAlign w:val="center"/>
          </w:tcPr>
          <w:p w14:paraId="46347679">
            <w:pPr>
              <w:ind w:left="0"/>
              <w:jc w:val="center"/>
              <w:rPr>
                <w:color w:val="000000"/>
                <w:kern w:val="0"/>
                <w:sz w:val="22"/>
                <w:szCs w:val="22"/>
              </w:rPr>
            </w:pPr>
            <w:r>
              <w:rPr>
                <w:color w:val="000000"/>
                <w:kern w:val="0"/>
                <w:sz w:val="22"/>
                <w:szCs w:val="22"/>
              </w:rPr>
              <w:t>······</w:t>
            </w:r>
          </w:p>
        </w:tc>
        <w:tc>
          <w:tcPr>
            <w:tcW w:w="1206" w:type="dxa"/>
            <w:tcBorders>
              <w:top w:val="single" w:color="auto" w:sz="4" w:space="0"/>
              <w:left w:val="single" w:color="auto" w:sz="4" w:space="0"/>
              <w:bottom w:val="single" w:color="auto" w:sz="4" w:space="0"/>
              <w:right w:val="single" w:color="auto" w:sz="4" w:space="0"/>
            </w:tcBorders>
            <w:noWrap/>
            <w:vAlign w:val="center"/>
          </w:tcPr>
          <w:p w14:paraId="65B1DA18">
            <w:pPr>
              <w:ind w:left="0"/>
              <w:jc w:val="center"/>
              <w:textAlignment w:val="center"/>
              <w:rPr>
                <w:color w:val="000000"/>
                <w:kern w:val="0"/>
                <w:sz w:val="22"/>
                <w:szCs w:val="22"/>
                <w:lang w:bidi="ar"/>
              </w:rPr>
            </w:pPr>
            <w:r>
              <w:rPr>
                <w:color w:val="000000"/>
                <w:kern w:val="0"/>
                <w:sz w:val="22"/>
                <w:szCs w:val="22"/>
                <w:lang w:bidi="ar"/>
              </w:rPr>
              <w:t xml:space="preserve">0.207 </w:t>
            </w:r>
          </w:p>
        </w:tc>
        <w:tc>
          <w:tcPr>
            <w:tcW w:w="1206" w:type="dxa"/>
            <w:tcBorders>
              <w:top w:val="nil"/>
              <w:left w:val="nil"/>
              <w:bottom w:val="single" w:color="auto" w:sz="4" w:space="0"/>
              <w:right w:val="single" w:color="auto" w:sz="4" w:space="0"/>
            </w:tcBorders>
            <w:noWrap/>
            <w:vAlign w:val="center"/>
          </w:tcPr>
          <w:p w14:paraId="7308B843">
            <w:pPr>
              <w:ind w:left="0"/>
              <w:jc w:val="center"/>
              <w:textAlignment w:val="center"/>
              <w:rPr>
                <w:color w:val="000000"/>
                <w:kern w:val="0"/>
                <w:sz w:val="22"/>
                <w:szCs w:val="22"/>
                <w:lang w:bidi="ar"/>
              </w:rPr>
            </w:pPr>
            <w:r>
              <w:rPr>
                <w:color w:val="000000"/>
                <w:kern w:val="0"/>
                <w:sz w:val="22"/>
                <w:szCs w:val="22"/>
                <w:lang w:bidi="ar"/>
              </w:rPr>
              <w:t xml:space="preserve">0.227 </w:t>
            </w:r>
          </w:p>
        </w:tc>
        <w:tc>
          <w:tcPr>
            <w:tcW w:w="1206" w:type="dxa"/>
            <w:tcBorders>
              <w:top w:val="nil"/>
              <w:left w:val="nil"/>
              <w:bottom w:val="single" w:color="auto" w:sz="4" w:space="0"/>
              <w:right w:val="single" w:color="auto" w:sz="4" w:space="0"/>
            </w:tcBorders>
            <w:noWrap/>
            <w:vAlign w:val="center"/>
          </w:tcPr>
          <w:p w14:paraId="3091D19C">
            <w:pPr>
              <w:ind w:left="0"/>
              <w:jc w:val="center"/>
              <w:textAlignment w:val="center"/>
              <w:rPr>
                <w:color w:val="000000"/>
                <w:kern w:val="0"/>
                <w:sz w:val="22"/>
                <w:szCs w:val="22"/>
                <w:lang w:bidi="ar"/>
              </w:rPr>
            </w:pPr>
            <w:r>
              <w:rPr>
                <w:color w:val="000000"/>
                <w:kern w:val="0"/>
                <w:sz w:val="22"/>
                <w:szCs w:val="22"/>
                <w:lang w:bidi="ar"/>
              </w:rPr>
              <w:t xml:space="preserve">0.249 </w:t>
            </w:r>
          </w:p>
        </w:tc>
        <w:tc>
          <w:tcPr>
            <w:tcW w:w="1226" w:type="dxa"/>
            <w:tcBorders>
              <w:top w:val="nil"/>
              <w:left w:val="nil"/>
              <w:bottom w:val="single" w:color="auto" w:sz="4" w:space="0"/>
              <w:right w:val="single" w:color="auto" w:sz="4" w:space="0"/>
            </w:tcBorders>
            <w:noWrap/>
            <w:vAlign w:val="center"/>
          </w:tcPr>
          <w:p w14:paraId="65231D78">
            <w:pPr>
              <w:ind w:left="0"/>
              <w:jc w:val="center"/>
              <w:textAlignment w:val="center"/>
              <w:rPr>
                <w:color w:val="000000"/>
                <w:kern w:val="0"/>
                <w:sz w:val="22"/>
                <w:szCs w:val="22"/>
                <w:lang w:bidi="ar"/>
              </w:rPr>
            </w:pPr>
            <w:r>
              <w:rPr>
                <w:color w:val="000000"/>
                <w:kern w:val="0"/>
                <w:sz w:val="22"/>
                <w:szCs w:val="22"/>
                <w:lang w:bidi="ar"/>
              </w:rPr>
              <w:t xml:space="preserve">0.270 </w:t>
            </w:r>
          </w:p>
        </w:tc>
      </w:tr>
    </w:tbl>
    <w:p w14:paraId="037BDC62">
      <w:pPr>
        <w:ind w:left="0"/>
        <w:rPr>
          <w:bCs/>
        </w:rPr>
        <w:sectPr>
          <w:headerReference r:id="rId10" w:type="default"/>
          <w:footerReference r:id="rId11" w:type="default"/>
          <w:pgSz w:w="16838" w:h="11906" w:orient="landscape"/>
          <w:pgMar w:top="1134" w:right="1440" w:bottom="1134" w:left="1440" w:header="851" w:footer="992" w:gutter="0"/>
          <w:cols w:space="720" w:num="1"/>
          <w:docGrid w:type="lines" w:linePitch="312" w:charSpace="0"/>
        </w:sectPr>
      </w:pPr>
    </w:p>
    <w:p w14:paraId="41C25DFD">
      <w:pPr>
        <w:pStyle w:val="62"/>
        <w:rPr>
          <w:rFonts w:ascii="Times New Roman"/>
        </w:rPr>
      </w:pPr>
      <w:bookmarkStart w:id="173" w:name="_Toc17898"/>
      <w:r>
        <w:rPr>
          <w:rFonts w:hint="eastAsia" w:ascii="Times New Roman"/>
        </w:rPr>
        <w:t>附录C</w:t>
      </w:r>
      <w:bookmarkEnd w:id="173"/>
    </w:p>
    <w:p w14:paraId="589C8A33">
      <w:pPr>
        <w:pStyle w:val="62"/>
        <w:jc w:val="center"/>
        <w:rPr>
          <w:rFonts w:ascii="Times New Roman"/>
          <w:szCs w:val="21"/>
        </w:rPr>
      </w:pPr>
      <w:bookmarkStart w:id="174" w:name="OLE_LINK49"/>
      <w:bookmarkStart w:id="175" w:name="_Toc27335"/>
      <w:r>
        <w:rPr>
          <w:rFonts w:hint="eastAsia" w:ascii="Times New Roman"/>
        </w:rPr>
        <w:t>称重物料罐分步替代法校准</w:t>
      </w:r>
      <w:bookmarkEnd w:id="174"/>
      <w:r>
        <w:rPr>
          <w:rFonts w:hint="eastAsia" w:ascii="Times New Roman"/>
        </w:rPr>
        <w:t>记录格式</w:t>
      </w:r>
      <w:bookmarkStart w:id="176" w:name="OLE_LINK117"/>
      <w:bookmarkStart w:id="177" w:name="OLE_LINK104"/>
      <w:r>
        <w:rPr>
          <w:rFonts w:hint="eastAsia" w:ascii="Times New Roman"/>
        </w:rPr>
        <w:t>（全量程）</w:t>
      </w:r>
      <w:bookmarkEnd w:id="176"/>
      <w:bookmarkEnd w:id="177"/>
      <w:r>
        <w:rPr>
          <w:rFonts w:hint="eastAsia" w:ascii="Times New Roman"/>
        </w:rPr>
        <w:t>（示例）</w:t>
      </w:r>
      <w:bookmarkEnd w:id="175"/>
    </w:p>
    <w:p w14:paraId="086EB7D3">
      <w:pPr>
        <w:jc w:val="center"/>
        <w:rPr>
          <w:szCs w:val="21"/>
        </w:rPr>
      </w:pPr>
      <w:r>
        <w:rPr>
          <w:rFonts w:hint="eastAsia"/>
          <w:szCs w:val="21"/>
        </w:rPr>
        <w:t xml:space="preserve">                                          校准证书编号：    　　　　    </w:t>
      </w:r>
    </w:p>
    <w:p w14:paraId="1A8EBF58">
      <w:pPr>
        <w:rPr>
          <w:rFonts w:cs="宋体"/>
          <w:szCs w:val="21"/>
        </w:rPr>
      </w:pPr>
      <w:r>
        <w:rPr>
          <w:rFonts w:hint="eastAsia" w:cs="宋体"/>
          <w:szCs w:val="21"/>
        </w:rPr>
        <w:t xml:space="preserve">                                                     共     页       第     页</w:t>
      </w:r>
    </w:p>
    <w:p w14:paraId="714F5474">
      <w:pPr>
        <w:rPr>
          <w:rFonts w:cs="宋体"/>
          <w:szCs w:val="21"/>
          <w:u w:val="single"/>
        </w:rPr>
      </w:pPr>
      <w:r>
        <w:rPr>
          <w:rFonts w:hint="eastAsia" w:cs="宋体"/>
          <w:szCs w:val="21"/>
        </w:rPr>
        <w:t>委托单位：</w:t>
      </w:r>
      <w:r>
        <w:rPr>
          <w:rFonts w:hint="eastAsia" w:cs="宋体"/>
          <w:szCs w:val="21"/>
          <w:u w:val="single"/>
        </w:rPr>
        <w:t xml:space="preserve">                             </w:t>
      </w:r>
      <w:r>
        <w:rPr>
          <w:rFonts w:hint="eastAsia" w:cs="宋体"/>
          <w:szCs w:val="21"/>
        </w:rPr>
        <w:t xml:space="preserve"> 委托方地址：</w:t>
      </w:r>
      <w:r>
        <w:rPr>
          <w:rFonts w:hint="eastAsia" w:cs="宋体"/>
          <w:szCs w:val="21"/>
          <w:u w:val="single"/>
        </w:rPr>
        <w:t xml:space="preserve">                           </w:t>
      </w:r>
    </w:p>
    <w:p w14:paraId="0B67DCE8">
      <w:pPr>
        <w:rPr>
          <w:rFonts w:cs="宋体"/>
          <w:szCs w:val="21"/>
          <w:u w:val="single"/>
        </w:rPr>
      </w:pPr>
      <w:r>
        <w:rPr>
          <w:rFonts w:hint="eastAsia" w:cs="宋体"/>
          <w:szCs w:val="21"/>
        </w:rPr>
        <w:t>仪器名称：</w:t>
      </w:r>
      <w:r>
        <w:rPr>
          <w:rFonts w:hint="eastAsia" w:cs="宋体"/>
          <w:szCs w:val="21"/>
          <w:u w:val="single"/>
        </w:rPr>
        <w:t xml:space="preserve">                             </w:t>
      </w:r>
      <w:r>
        <w:rPr>
          <w:rFonts w:hint="eastAsia" w:cs="宋体"/>
          <w:szCs w:val="21"/>
        </w:rPr>
        <w:t xml:space="preserve"> 规格型号：</w:t>
      </w:r>
      <w:r>
        <w:rPr>
          <w:rFonts w:hint="eastAsia" w:cs="宋体"/>
          <w:szCs w:val="21"/>
          <w:u w:val="single"/>
        </w:rPr>
        <w:t xml:space="preserve">                             </w:t>
      </w:r>
    </w:p>
    <w:p w14:paraId="2A926003">
      <w:pPr>
        <w:rPr>
          <w:rFonts w:cs="宋体"/>
          <w:szCs w:val="21"/>
        </w:rPr>
      </w:pPr>
      <w:r>
        <w:rPr>
          <w:rFonts w:hint="eastAsia" w:cs="宋体"/>
          <w:szCs w:val="21"/>
        </w:rPr>
        <w:t>出厂编号：</w:t>
      </w:r>
      <w:r>
        <w:rPr>
          <w:rFonts w:hint="eastAsia" w:cs="宋体"/>
          <w:szCs w:val="21"/>
          <w:u w:val="single"/>
        </w:rPr>
        <w:t xml:space="preserve">                             </w:t>
      </w:r>
      <w:r>
        <w:rPr>
          <w:rFonts w:hint="eastAsia" w:cs="宋体"/>
          <w:szCs w:val="21"/>
        </w:rPr>
        <w:t xml:space="preserve"> 生产厂家：</w:t>
      </w:r>
      <w:r>
        <w:rPr>
          <w:rFonts w:hint="eastAsia" w:cs="宋体"/>
          <w:szCs w:val="21"/>
          <w:u w:val="single"/>
        </w:rPr>
        <w:t xml:space="preserve">                             </w:t>
      </w:r>
      <w:r>
        <w:rPr>
          <w:rFonts w:hint="eastAsia" w:cs="宋体"/>
          <w:szCs w:val="21"/>
        </w:rPr>
        <w:t xml:space="preserve">  </w:t>
      </w:r>
    </w:p>
    <w:p w14:paraId="4C7A219D">
      <w:pPr>
        <w:rPr>
          <w:rFonts w:cs="宋体"/>
          <w:szCs w:val="21"/>
          <w:u w:val="single"/>
        </w:rPr>
      </w:pPr>
      <w:r>
        <w:rPr>
          <w:rFonts w:hint="eastAsia" w:cs="宋体"/>
          <w:szCs w:val="21"/>
        </w:rPr>
        <w:t>被校仪器状态：校准前：</w:t>
      </w:r>
      <w:r>
        <w:rPr>
          <w:rFonts w:hint="eastAsia" w:cs="宋体"/>
          <w:szCs w:val="21"/>
          <w:u w:val="single"/>
        </w:rPr>
        <w:t xml:space="preserve">            </w:t>
      </w:r>
      <w:r>
        <w:rPr>
          <w:rFonts w:hint="eastAsia" w:cs="宋体"/>
          <w:szCs w:val="21"/>
        </w:rPr>
        <w:t xml:space="preserve"> 校 准 后：</w:t>
      </w:r>
      <w:r>
        <w:rPr>
          <w:rFonts w:hint="eastAsia" w:cs="宋体"/>
          <w:szCs w:val="21"/>
          <w:u w:val="single"/>
        </w:rPr>
        <w:t xml:space="preserve">          </w:t>
      </w:r>
      <w:r>
        <w:rPr>
          <w:rFonts w:hint="eastAsia" w:cs="宋体"/>
          <w:szCs w:val="21"/>
        </w:rPr>
        <w:t xml:space="preserve">  最大称量</w:t>
      </w:r>
      <w:r>
        <w:rPr>
          <w:rFonts w:hint="eastAsia" w:cs="宋体"/>
          <w:szCs w:val="21"/>
          <w:u w:val="single"/>
        </w:rPr>
        <w:t xml:space="preserve">              </w:t>
      </w:r>
    </w:p>
    <w:p w14:paraId="04686BAA">
      <w:pPr>
        <w:rPr>
          <w:rFonts w:cs="宋体"/>
          <w:szCs w:val="21"/>
        </w:rPr>
      </w:pPr>
      <w:r>
        <w:rPr>
          <w:rFonts w:hint="eastAsia" w:cs="宋体"/>
          <w:szCs w:val="21"/>
        </w:rPr>
        <w:t>校准条件：温度：</w:t>
      </w:r>
      <w:r>
        <w:rPr>
          <w:rFonts w:hint="eastAsia" w:cs="宋体"/>
          <w:szCs w:val="21"/>
          <w:u w:val="single"/>
        </w:rPr>
        <w:t xml:space="preserve">              </w:t>
      </w:r>
      <w:r>
        <w:rPr>
          <w:rFonts w:hint="eastAsia" w:cs="宋体"/>
          <w:szCs w:val="21"/>
        </w:rPr>
        <w:t xml:space="preserve"> </w:t>
      </w:r>
      <w:r>
        <w:rPr>
          <w:rFonts w:hint="eastAsia"/>
          <w:szCs w:val="21"/>
        </w:rPr>
        <w:t xml:space="preserve">℃  </w:t>
      </w:r>
      <w:r>
        <w:rPr>
          <w:rFonts w:hint="eastAsia" w:cs="宋体"/>
          <w:szCs w:val="21"/>
        </w:rPr>
        <w:t>相对湿度：</w:t>
      </w:r>
      <w:r>
        <w:rPr>
          <w:rFonts w:hint="eastAsia" w:cs="宋体"/>
          <w:szCs w:val="21"/>
          <w:u w:val="single"/>
        </w:rPr>
        <w:t xml:space="preserve">         </w:t>
      </w:r>
      <w:r>
        <w:rPr>
          <w:rFonts w:hint="eastAsia" w:cs="宋体"/>
          <w:szCs w:val="21"/>
        </w:rPr>
        <w:t xml:space="preserve"> %  分度值</w:t>
      </w:r>
      <w:r>
        <w:rPr>
          <w:rFonts w:hint="eastAsia" w:cs="宋体"/>
          <w:szCs w:val="21"/>
          <w:u w:val="single"/>
        </w:rPr>
        <w:t xml:space="preserve">       </w:t>
      </w:r>
      <w:r>
        <w:rPr>
          <w:rFonts w:hint="eastAsia"/>
        </w:rPr>
        <w:t>□</w:t>
      </w:r>
      <w:r>
        <w:rPr>
          <w:rFonts w:hint="eastAsia" w:cs="宋体"/>
          <w:szCs w:val="21"/>
        </w:rPr>
        <w:t>扩展</w:t>
      </w:r>
    </w:p>
    <w:p w14:paraId="34F71440">
      <w:pPr>
        <w:rPr>
          <w:rFonts w:cs="宋体"/>
          <w:szCs w:val="21"/>
        </w:rPr>
      </w:pPr>
      <w:r>
        <w:rPr>
          <w:rFonts w:hint="eastAsia" w:cs="宋体"/>
          <w:szCs w:val="21"/>
        </w:rPr>
        <w:t>校准依据：</w:t>
      </w:r>
      <w:r>
        <w:rPr>
          <w:rFonts w:hint="eastAsia" w:cs="宋体"/>
          <w:szCs w:val="21"/>
          <w:u w:val="single"/>
        </w:rPr>
        <w:t xml:space="preserve">                             </w:t>
      </w:r>
      <w:r>
        <w:rPr>
          <w:rFonts w:hint="eastAsia" w:cs="宋体"/>
          <w:szCs w:val="21"/>
        </w:rPr>
        <w:t xml:space="preserve"> 外观检查：</w:t>
      </w:r>
      <w:r>
        <w:rPr>
          <w:rFonts w:hint="eastAsia"/>
        </w:rPr>
        <w:t>□</w:t>
      </w:r>
      <w:r>
        <w:rPr>
          <w:rFonts w:hint="eastAsia" w:cs="宋体"/>
          <w:szCs w:val="21"/>
        </w:rPr>
        <w:t xml:space="preserve">合格  </w:t>
      </w:r>
      <w:r>
        <w:rPr>
          <w:rFonts w:hint="eastAsia"/>
        </w:rPr>
        <w:t>□</w:t>
      </w:r>
      <w:r>
        <w:rPr>
          <w:rFonts w:hint="eastAsia" w:cs="宋体"/>
          <w:szCs w:val="21"/>
        </w:rPr>
        <w:t>异常</w:t>
      </w:r>
      <w:r>
        <w:rPr>
          <w:rFonts w:hint="eastAsia" w:cs="宋体"/>
          <w:szCs w:val="21"/>
          <w:u w:val="single"/>
        </w:rPr>
        <w:t xml:space="preserve">               </w:t>
      </w:r>
      <w:r>
        <w:rPr>
          <w:rFonts w:hint="eastAsia" w:cs="宋体"/>
          <w:szCs w:val="21"/>
        </w:rPr>
        <w:t xml:space="preserve">   </w:t>
      </w:r>
    </w:p>
    <w:tbl>
      <w:tblPr>
        <w:tblStyle w:val="21"/>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68"/>
        <w:gridCol w:w="1551"/>
        <w:gridCol w:w="1551"/>
        <w:gridCol w:w="1822"/>
        <w:gridCol w:w="1281"/>
        <w:gridCol w:w="1551"/>
      </w:tblGrid>
      <w:tr w14:paraId="0887F9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970" w:type="pct"/>
            <w:vAlign w:val="center"/>
          </w:tcPr>
          <w:p w14:paraId="05D0BDA2">
            <w:pPr>
              <w:pStyle w:val="66"/>
              <w:widowControl w:val="0"/>
              <w:ind w:left="0"/>
              <w:jc w:val="center"/>
            </w:pPr>
            <w:r>
              <w:rPr>
                <w:rFonts w:hint="eastAsia"/>
              </w:rPr>
              <w:t>主标准器名称</w:t>
            </w:r>
          </w:p>
        </w:tc>
        <w:tc>
          <w:tcPr>
            <w:tcW w:w="805" w:type="pct"/>
            <w:vAlign w:val="center"/>
          </w:tcPr>
          <w:p w14:paraId="3407B649">
            <w:pPr>
              <w:pStyle w:val="66"/>
              <w:widowControl w:val="0"/>
              <w:jc w:val="center"/>
            </w:pPr>
            <w:r>
              <w:rPr>
                <w:rFonts w:hint="eastAsia"/>
              </w:rPr>
              <w:t>型号规格</w:t>
            </w:r>
          </w:p>
        </w:tc>
        <w:tc>
          <w:tcPr>
            <w:tcW w:w="805" w:type="pct"/>
            <w:vAlign w:val="center"/>
          </w:tcPr>
          <w:p w14:paraId="26E8DE78">
            <w:pPr>
              <w:pStyle w:val="66"/>
              <w:widowControl w:val="0"/>
              <w:jc w:val="center"/>
            </w:pPr>
            <w:r>
              <w:rPr>
                <w:rFonts w:hint="eastAsia"/>
              </w:rPr>
              <w:t>出厂编号</w:t>
            </w:r>
          </w:p>
        </w:tc>
        <w:tc>
          <w:tcPr>
            <w:tcW w:w="946" w:type="pct"/>
            <w:vAlign w:val="center"/>
          </w:tcPr>
          <w:p w14:paraId="4EAB742A">
            <w:pPr>
              <w:pStyle w:val="66"/>
              <w:widowControl w:val="0"/>
              <w:jc w:val="center"/>
            </w:pPr>
            <w:r>
              <w:rPr>
                <w:rFonts w:hint="eastAsia"/>
              </w:rPr>
              <w:t>准确度等级</w:t>
            </w:r>
          </w:p>
        </w:tc>
        <w:tc>
          <w:tcPr>
            <w:tcW w:w="665" w:type="pct"/>
            <w:vAlign w:val="center"/>
          </w:tcPr>
          <w:p w14:paraId="22944F8B">
            <w:pPr>
              <w:pStyle w:val="66"/>
              <w:widowControl w:val="0"/>
              <w:jc w:val="center"/>
            </w:pPr>
            <w:r>
              <w:rPr>
                <w:rFonts w:hint="eastAsia"/>
              </w:rPr>
              <w:t>有效期</w:t>
            </w:r>
          </w:p>
        </w:tc>
        <w:tc>
          <w:tcPr>
            <w:tcW w:w="805" w:type="pct"/>
            <w:vAlign w:val="center"/>
          </w:tcPr>
          <w:p w14:paraId="2EBC4AA2">
            <w:pPr>
              <w:pStyle w:val="66"/>
              <w:widowControl w:val="0"/>
              <w:jc w:val="center"/>
            </w:pPr>
            <w:r>
              <w:rPr>
                <w:rFonts w:hint="eastAsia"/>
              </w:rPr>
              <w:t>证书编号</w:t>
            </w:r>
          </w:p>
        </w:tc>
      </w:tr>
      <w:tr w14:paraId="2F968E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970" w:type="pct"/>
            <w:vAlign w:val="center"/>
          </w:tcPr>
          <w:p w14:paraId="636C2286">
            <w:pPr>
              <w:pStyle w:val="66"/>
              <w:widowControl w:val="0"/>
              <w:jc w:val="center"/>
            </w:pPr>
          </w:p>
        </w:tc>
        <w:tc>
          <w:tcPr>
            <w:tcW w:w="805" w:type="pct"/>
            <w:vAlign w:val="center"/>
          </w:tcPr>
          <w:p w14:paraId="467564D7">
            <w:pPr>
              <w:pStyle w:val="66"/>
              <w:widowControl w:val="0"/>
              <w:jc w:val="center"/>
            </w:pPr>
          </w:p>
        </w:tc>
        <w:tc>
          <w:tcPr>
            <w:tcW w:w="805" w:type="pct"/>
            <w:vAlign w:val="center"/>
          </w:tcPr>
          <w:p w14:paraId="20AA771B">
            <w:pPr>
              <w:pStyle w:val="66"/>
              <w:widowControl w:val="0"/>
              <w:jc w:val="center"/>
            </w:pPr>
          </w:p>
        </w:tc>
        <w:tc>
          <w:tcPr>
            <w:tcW w:w="946" w:type="pct"/>
            <w:vAlign w:val="center"/>
          </w:tcPr>
          <w:p w14:paraId="46A808F8">
            <w:pPr>
              <w:pStyle w:val="66"/>
              <w:widowControl w:val="0"/>
              <w:jc w:val="center"/>
            </w:pPr>
          </w:p>
        </w:tc>
        <w:tc>
          <w:tcPr>
            <w:tcW w:w="665" w:type="pct"/>
            <w:vAlign w:val="center"/>
          </w:tcPr>
          <w:p w14:paraId="376CFAD8">
            <w:pPr>
              <w:pStyle w:val="66"/>
              <w:widowControl w:val="0"/>
              <w:jc w:val="center"/>
            </w:pPr>
          </w:p>
        </w:tc>
        <w:tc>
          <w:tcPr>
            <w:tcW w:w="805" w:type="pct"/>
            <w:vAlign w:val="center"/>
          </w:tcPr>
          <w:p w14:paraId="6AE007C2">
            <w:pPr>
              <w:pStyle w:val="66"/>
              <w:widowControl w:val="0"/>
              <w:jc w:val="center"/>
            </w:pPr>
          </w:p>
        </w:tc>
      </w:tr>
      <w:tr w14:paraId="17C462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970" w:type="pct"/>
            <w:vAlign w:val="center"/>
          </w:tcPr>
          <w:p w14:paraId="3DEFE79E">
            <w:pPr>
              <w:pStyle w:val="66"/>
              <w:widowControl w:val="0"/>
              <w:jc w:val="center"/>
            </w:pPr>
          </w:p>
        </w:tc>
        <w:tc>
          <w:tcPr>
            <w:tcW w:w="805" w:type="pct"/>
            <w:vAlign w:val="center"/>
          </w:tcPr>
          <w:p w14:paraId="37958040">
            <w:pPr>
              <w:pStyle w:val="66"/>
              <w:widowControl w:val="0"/>
              <w:jc w:val="center"/>
            </w:pPr>
          </w:p>
        </w:tc>
        <w:tc>
          <w:tcPr>
            <w:tcW w:w="805" w:type="pct"/>
            <w:vAlign w:val="center"/>
          </w:tcPr>
          <w:p w14:paraId="7D65E7A5">
            <w:pPr>
              <w:pStyle w:val="66"/>
              <w:widowControl w:val="0"/>
              <w:jc w:val="center"/>
            </w:pPr>
          </w:p>
        </w:tc>
        <w:tc>
          <w:tcPr>
            <w:tcW w:w="946" w:type="pct"/>
            <w:vAlign w:val="center"/>
          </w:tcPr>
          <w:p w14:paraId="4974A152">
            <w:pPr>
              <w:pStyle w:val="66"/>
              <w:widowControl w:val="0"/>
              <w:jc w:val="center"/>
            </w:pPr>
          </w:p>
        </w:tc>
        <w:tc>
          <w:tcPr>
            <w:tcW w:w="665" w:type="pct"/>
            <w:vAlign w:val="center"/>
          </w:tcPr>
          <w:p w14:paraId="1A5DB4B6">
            <w:pPr>
              <w:pStyle w:val="66"/>
              <w:widowControl w:val="0"/>
              <w:jc w:val="center"/>
            </w:pPr>
          </w:p>
        </w:tc>
        <w:tc>
          <w:tcPr>
            <w:tcW w:w="805" w:type="pct"/>
            <w:vAlign w:val="center"/>
          </w:tcPr>
          <w:p w14:paraId="17EA6F81">
            <w:pPr>
              <w:pStyle w:val="66"/>
              <w:widowControl w:val="0"/>
              <w:jc w:val="center"/>
            </w:pPr>
          </w:p>
        </w:tc>
      </w:tr>
    </w:tbl>
    <w:p w14:paraId="64161D16">
      <w:pPr>
        <w:numPr>
          <w:ilvl w:val="0"/>
          <w:numId w:val="3"/>
        </w:numPr>
        <w:spacing w:before="156" w:beforeLines="50" w:after="156" w:afterLines="50" w:line="360" w:lineRule="auto"/>
        <w:ind w:left="408" w:hanging="408" w:hangingChars="170"/>
      </w:pPr>
      <w:r>
        <w:rPr>
          <w:rFonts w:hint="eastAsia"/>
        </w:rPr>
        <w:t>示值误差</w:t>
      </w:r>
      <w:r>
        <w:t xml:space="preserve">  标准载荷单元</w:t>
      </w:r>
      <w:bookmarkStart w:id="178" w:name="OLE_LINK27"/>
      <w:r>
        <w:rPr>
          <w:rFonts w:hint="eastAsia"/>
          <w:i/>
        </w:rPr>
        <w:t>L</w:t>
      </w:r>
      <w:bookmarkEnd w:id="178"/>
      <w:r>
        <w:t>：</w:t>
      </w:r>
      <w:r>
        <w:rPr>
          <w:rFonts w:hint="eastAsia"/>
          <w:u w:val="single"/>
        </w:rPr>
        <w:t xml:space="preserve">          </w:t>
      </w:r>
      <w:r>
        <w:rPr>
          <w:rFonts w:hint="eastAsia"/>
        </w:rPr>
        <w:t xml:space="preserve">kg ， </w:t>
      </w:r>
      <w:r>
        <w:rPr>
          <w:i/>
        </w:rPr>
        <w:t>E</w:t>
      </w:r>
      <w:r>
        <w:t>=</w:t>
      </w:r>
      <w:r>
        <w:rPr>
          <w:i/>
        </w:rPr>
        <w:t>I</w:t>
      </w:r>
      <w:r>
        <w:t>+</w:t>
      </w:r>
      <w:r>
        <w:rPr>
          <w:position w:val="-12"/>
        </w:rPr>
        <w:object>
          <v:shape id="_x0000_i1089" o:spt="75" type="#_x0000_t75" style="height:18pt;width:10pt;" o:ole="t" filled="f" o:preferrelative="t" stroked="f" coordsize="21600,21600">
            <v:path/>
            <v:fill on="f" focussize="0,0"/>
            <v:stroke on="f" joinstyle="miter"/>
            <v:imagedata r:id="rId138" o:title=""/>
            <o:lock v:ext="edit" aspectratio="t"/>
            <w10:wrap type="none"/>
            <w10:anchorlock/>
          </v:shape>
          <o:OLEObject Type="Embed" ProgID="Equation.3" ShapeID="_x0000_i1089" DrawAspect="Content" ObjectID="_1468075789" r:id="rId137">
            <o:LockedField>false</o:LockedField>
          </o:OLEObject>
        </w:object>
      </w:r>
      <w:r>
        <w:rPr>
          <w:rFonts w:hint="eastAsia"/>
          <w:i/>
        </w:rPr>
        <w:t>d</w:t>
      </w:r>
      <w:r>
        <w:t>-</w:t>
      </w:r>
      <w:r>
        <w:rPr>
          <w:rFonts w:hint="eastAsia" w:eastAsia="MS Mincho" w:cs="MS Mincho"/>
        </w:rPr>
        <w:t>∆</w:t>
      </w:r>
      <w:r>
        <w:rPr>
          <w:i/>
        </w:rPr>
        <w:t>L</w:t>
      </w:r>
      <w:r>
        <w:t>-</w:t>
      </w:r>
      <w:r>
        <w:rPr>
          <w:i/>
        </w:rPr>
        <w:t>L</w:t>
      </w:r>
      <w:r>
        <w:rPr>
          <w:rFonts w:hint="eastAsia"/>
        </w:rPr>
        <w:t xml:space="preserve">  </w:t>
      </w:r>
    </w:p>
    <w:tbl>
      <w:tblPr>
        <w:tblStyle w:val="21"/>
        <w:tblpPr w:leftFromText="180" w:rightFromText="180" w:vertAnchor="text" w:tblpY="1"/>
        <w:tblOverlap w:val="never"/>
        <w:tblW w:w="4974"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92"/>
        <w:gridCol w:w="1012"/>
        <w:gridCol w:w="1096"/>
        <w:gridCol w:w="1223"/>
        <w:gridCol w:w="1052"/>
        <w:gridCol w:w="1502"/>
        <w:gridCol w:w="977"/>
        <w:gridCol w:w="1024"/>
      </w:tblGrid>
      <w:tr w14:paraId="68B3F2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trPr>
        <w:tc>
          <w:tcPr>
            <w:tcW w:w="883" w:type="pct"/>
            <w:vAlign w:val="center"/>
          </w:tcPr>
          <w:p w14:paraId="3F66B008">
            <w:pPr>
              <w:spacing w:line="320" w:lineRule="exact"/>
              <w:ind w:left="0"/>
              <w:jc w:val="center"/>
            </w:pPr>
            <w:bookmarkStart w:id="179" w:name="OLE_LINK38"/>
            <w:bookmarkStart w:id="180" w:name="OLE_LINK37"/>
            <w:r>
              <w:rPr>
                <w:rFonts w:hint="eastAsia"/>
              </w:rPr>
              <w:t>测量点</w:t>
            </w:r>
          </w:p>
        </w:tc>
        <w:tc>
          <w:tcPr>
            <w:tcW w:w="528" w:type="pct"/>
            <w:vAlign w:val="center"/>
          </w:tcPr>
          <w:p w14:paraId="617BF0FB">
            <w:pPr>
              <w:spacing w:line="320" w:lineRule="exact"/>
              <w:ind w:left="0"/>
              <w:jc w:val="center"/>
            </w:pPr>
            <w:bookmarkStart w:id="181" w:name="OLE_LINK19"/>
            <w:r>
              <w:rPr>
                <w:rFonts w:hint="eastAsia"/>
              </w:rPr>
              <w:t>载荷(   )</w:t>
            </w:r>
            <w:bookmarkEnd w:id="181"/>
          </w:p>
        </w:tc>
        <w:tc>
          <w:tcPr>
            <w:tcW w:w="572" w:type="pct"/>
            <w:vAlign w:val="center"/>
          </w:tcPr>
          <w:p w14:paraId="6AD8B15C">
            <w:pPr>
              <w:spacing w:line="320" w:lineRule="exact"/>
              <w:ind w:left="0"/>
              <w:jc w:val="center"/>
            </w:pPr>
            <w:r>
              <w:rPr>
                <w:rFonts w:hint="eastAsia"/>
              </w:rPr>
              <w:t>示值</w:t>
            </w:r>
            <w:r>
              <w:rPr>
                <w:i/>
              </w:rPr>
              <w:t>I</w:t>
            </w:r>
            <w:bookmarkStart w:id="182" w:name="OLE_LINK22"/>
            <w:r>
              <w:rPr>
                <w:rFonts w:hint="eastAsia"/>
                <w:i/>
              </w:rPr>
              <w:t xml:space="preserve"> </w:t>
            </w:r>
            <w:r>
              <w:t>(</w:t>
            </w:r>
            <w:r>
              <w:rPr>
                <w:rFonts w:hint="eastAsia"/>
              </w:rPr>
              <w:t xml:space="preserve">  </w:t>
            </w:r>
            <w:r>
              <w:t>)</w:t>
            </w:r>
            <w:bookmarkEnd w:id="182"/>
          </w:p>
        </w:tc>
        <w:tc>
          <w:tcPr>
            <w:tcW w:w="638" w:type="pct"/>
            <w:vAlign w:val="center"/>
          </w:tcPr>
          <w:p w14:paraId="16191102">
            <w:pPr>
              <w:spacing w:line="320" w:lineRule="exact"/>
              <w:ind w:left="0"/>
              <w:jc w:val="center"/>
            </w:pPr>
            <w:r>
              <w:rPr>
                <w:rFonts w:hint="eastAsia"/>
              </w:rPr>
              <w:t>附加砝码</w:t>
            </w:r>
            <w:r>
              <w:rPr>
                <w:rFonts w:hint="eastAsia" w:eastAsia="Batang"/>
              </w:rPr>
              <w:t>∆</w:t>
            </w:r>
            <w:r>
              <w:rPr>
                <w:rFonts w:hint="eastAsia"/>
                <w:i/>
              </w:rPr>
              <w:t>L</w:t>
            </w:r>
            <w:r>
              <w:t xml:space="preserve">( </w:t>
            </w:r>
            <w:r>
              <w:rPr>
                <w:rFonts w:hint="eastAsia"/>
              </w:rPr>
              <w:t xml:space="preserve">  </w:t>
            </w:r>
            <w:r>
              <w:t xml:space="preserve"> )</w:t>
            </w:r>
          </w:p>
        </w:tc>
        <w:tc>
          <w:tcPr>
            <w:tcW w:w="549" w:type="pct"/>
            <w:vAlign w:val="center"/>
          </w:tcPr>
          <w:p w14:paraId="5AAE337F">
            <w:pPr>
              <w:spacing w:line="320" w:lineRule="exact"/>
              <w:ind w:left="0"/>
              <w:jc w:val="center"/>
            </w:pPr>
            <w:r>
              <w:rPr>
                <w:rFonts w:hint="eastAsia"/>
              </w:rPr>
              <w:t>显示值偏差</w:t>
            </w:r>
            <w:r>
              <w:rPr>
                <w:rFonts w:hint="eastAsia"/>
                <w:i/>
                <w:iCs/>
              </w:rPr>
              <w:t>E</w:t>
            </w:r>
            <w:r>
              <w:rPr>
                <w:rFonts w:hint="eastAsia"/>
              </w:rPr>
              <w:t>j</w:t>
            </w:r>
          </w:p>
        </w:tc>
        <w:tc>
          <w:tcPr>
            <w:tcW w:w="784" w:type="pct"/>
            <w:vAlign w:val="center"/>
          </w:tcPr>
          <w:p w14:paraId="67FA6AB2">
            <w:pPr>
              <w:spacing w:line="320" w:lineRule="exact"/>
              <w:ind w:left="0"/>
              <w:jc w:val="center"/>
            </w:pPr>
            <w:r>
              <w:rPr>
                <w:rFonts w:hint="eastAsia"/>
              </w:rPr>
              <w:t>替代载荷和测量砝码的显示差值∆</w:t>
            </w:r>
            <w:r>
              <w:rPr>
                <w:rFonts w:hint="eastAsia"/>
                <w:i/>
                <w:iCs/>
              </w:rPr>
              <w:t>I</w:t>
            </w:r>
            <w:r>
              <w:rPr>
                <w:rFonts w:hint="eastAsia"/>
              </w:rPr>
              <w:t>j</w:t>
            </w:r>
          </w:p>
        </w:tc>
        <w:tc>
          <w:tcPr>
            <w:tcW w:w="510" w:type="pct"/>
            <w:vAlign w:val="center"/>
          </w:tcPr>
          <w:p w14:paraId="0CDC2D85">
            <w:pPr>
              <w:spacing w:line="320" w:lineRule="exact"/>
              <w:ind w:left="0"/>
              <w:jc w:val="center"/>
            </w:pPr>
            <w:r>
              <w:rPr>
                <w:rFonts w:hint="eastAsia"/>
              </w:rPr>
              <w:t>计算出的替代载荷值</w:t>
            </w:r>
          </w:p>
        </w:tc>
        <w:tc>
          <w:tcPr>
            <w:tcW w:w="534" w:type="pct"/>
            <w:vAlign w:val="center"/>
          </w:tcPr>
          <w:p w14:paraId="75CB0EA5">
            <w:pPr>
              <w:spacing w:line="320" w:lineRule="exact"/>
              <w:ind w:left="0"/>
              <w:jc w:val="center"/>
            </w:pPr>
            <w:r>
              <w:rPr>
                <w:rFonts w:hint="eastAsia"/>
              </w:rPr>
              <w:t>示值</w:t>
            </w:r>
          </w:p>
          <w:p w14:paraId="09FDCD26">
            <w:pPr>
              <w:spacing w:line="320" w:lineRule="exact"/>
              <w:ind w:left="0"/>
              <w:jc w:val="center"/>
            </w:pPr>
            <w:r>
              <w:rPr>
                <w:rFonts w:hint="eastAsia"/>
              </w:rPr>
              <w:t>误差</w:t>
            </w:r>
            <w:r>
              <w:rPr>
                <w:rFonts w:hint="eastAsia"/>
                <w:i/>
              </w:rPr>
              <w:t>E</w:t>
            </w:r>
            <w:r>
              <w:t>(</w:t>
            </w:r>
            <w:r>
              <w:rPr>
                <w:rFonts w:hint="eastAsia"/>
              </w:rPr>
              <w:t xml:space="preserve">  </w:t>
            </w:r>
            <w:r>
              <w:t xml:space="preserve"> )</w:t>
            </w:r>
          </w:p>
        </w:tc>
      </w:tr>
      <w:tr w14:paraId="75BF84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trPr>
        <w:tc>
          <w:tcPr>
            <w:tcW w:w="883" w:type="pct"/>
          </w:tcPr>
          <w:p w14:paraId="5A659F2B">
            <w:pPr>
              <w:spacing w:line="320" w:lineRule="exact"/>
              <w:ind w:left="0"/>
            </w:pPr>
            <w:bookmarkStart w:id="183" w:name="_Hlk195377393"/>
            <w:bookmarkStart w:id="184" w:name="_Hlk195376151"/>
            <w:r>
              <w:rPr>
                <w:rFonts w:hint="eastAsia"/>
              </w:rPr>
              <w:t>1 零点</w:t>
            </w:r>
          </w:p>
        </w:tc>
        <w:tc>
          <w:tcPr>
            <w:tcW w:w="528" w:type="pct"/>
          </w:tcPr>
          <w:p w14:paraId="0798161B">
            <w:pPr>
              <w:spacing w:line="320" w:lineRule="exact"/>
              <w:ind w:left="0"/>
            </w:pPr>
            <w:r>
              <w:rPr>
                <w:rFonts w:hint="eastAsia"/>
              </w:rPr>
              <w:t>(* )</w:t>
            </w:r>
          </w:p>
        </w:tc>
        <w:tc>
          <w:tcPr>
            <w:tcW w:w="572" w:type="pct"/>
          </w:tcPr>
          <w:p w14:paraId="7094C958">
            <w:pPr>
              <w:spacing w:line="320" w:lineRule="exact"/>
              <w:jc w:val="center"/>
            </w:pPr>
          </w:p>
        </w:tc>
        <w:tc>
          <w:tcPr>
            <w:tcW w:w="638" w:type="pct"/>
          </w:tcPr>
          <w:p w14:paraId="16FD365F">
            <w:pPr>
              <w:spacing w:line="320" w:lineRule="exact"/>
              <w:jc w:val="center"/>
            </w:pPr>
          </w:p>
        </w:tc>
        <w:tc>
          <w:tcPr>
            <w:tcW w:w="549" w:type="pct"/>
          </w:tcPr>
          <w:p w14:paraId="0B1BA8AA">
            <w:pPr>
              <w:spacing w:line="320" w:lineRule="exact"/>
              <w:jc w:val="center"/>
            </w:pPr>
          </w:p>
        </w:tc>
        <w:tc>
          <w:tcPr>
            <w:tcW w:w="784" w:type="pct"/>
          </w:tcPr>
          <w:p w14:paraId="3F22468B">
            <w:pPr>
              <w:spacing w:line="320" w:lineRule="exact"/>
              <w:jc w:val="center"/>
            </w:pPr>
          </w:p>
        </w:tc>
        <w:tc>
          <w:tcPr>
            <w:tcW w:w="510" w:type="pct"/>
          </w:tcPr>
          <w:p w14:paraId="20F91299">
            <w:pPr>
              <w:spacing w:line="320" w:lineRule="exact"/>
              <w:jc w:val="center"/>
            </w:pPr>
          </w:p>
        </w:tc>
        <w:tc>
          <w:tcPr>
            <w:tcW w:w="534" w:type="pct"/>
          </w:tcPr>
          <w:p w14:paraId="0E4B31BB">
            <w:pPr>
              <w:spacing w:line="320" w:lineRule="exact"/>
              <w:jc w:val="center"/>
            </w:pPr>
          </w:p>
        </w:tc>
      </w:tr>
      <w:tr w14:paraId="14387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trPr>
        <w:tc>
          <w:tcPr>
            <w:tcW w:w="883" w:type="pct"/>
          </w:tcPr>
          <w:p w14:paraId="4F4F3EEB">
            <w:pPr>
              <w:spacing w:line="320" w:lineRule="exact"/>
              <w:ind w:left="0" w:firstLine="240" w:firstLineChars="100"/>
            </w:pPr>
            <w:bookmarkStart w:id="185" w:name="_Hlk195375675"/>
            <w:r>
              <w:rPr>
                <w:rFonts w:hint="eastAsia"/>
              </w:rPr>
              <w:t>1.1加载</w:t>
            </w:r>
            <w:r>
              <w:rPr>
                <w:rFonts w:hint="eastAsia"/>
                <w:i/>
              </w:rPr>
              <w:t>L</w:t>
            </w:r>
          </w:p>
        </w:tc>
        <w:tc>
          <w:tcPr>
            <w:tcW w:w="528" w:type="pct"/>
          </w:tcPr>
          <w:p w14:paraId="2E2DAD17">
            <w:pPr>
              <w:spacing w:line="320" w:lineRule="exact"/>
              <w:jc w:val="center"/>
            </w:pPr>
          </w:p>
        </w:tc>
        <w:tc>
          <w:tcPr>
            <w:tcW w:w="572" w:type="pct"/>
          </w:tcPr>
          <w:p w14:paraId="29561E87">
            <w:pPr>
              <w:spacing w:line="320" w:lineRule="exact"/>
              <w:jc w:val="center"/>
            </w:pPr>
          </w:p>
        </w:tc>
        <w:tc>
          <w:tcPr>
            <w:tcW w:w="638" w:type="pct"/>
          </w:tcPr>
          <w:p w14:paraId="67DDEC58">
            <w:pPr>
              <w:spacing w:line="320" w:lineRule="exact"/>
              <w:jc w:val="center"/>
            </w:pPr>
          </w:p>
        </w:tc>
        <w:tc>
          <w:tcPr>
            <w:tcW w:w="549" w:type="pct"/>
          </w:tcPr>
          <w:p w14:paraId="47C0DADD">
            <w:pPr>
              <w:spacing w:line="320" w:lineRule="exact"/>
              <w:jc w:val="center"/>
            </w:pPr>
          </w:p>
        </w:tc>
        <w:tc>
          <w:tcPr>
            <w:tcW w:w="784" w:type="pct"/>
          </w:tcPr>
          <w:p w14:paraId="4C992388">
            <w:pPr>
              <w:spacing w:line="320" w:lineRule="exact"/>
              <w:jc w:val="center"/>
            </w:pPr>
          </w:p>
        </w:tc>
        <w:tc>
          <w:tcPr>
            <w:tcW w:w="510" w:type="pct"/>
          </w:tcPr>
          <w:p w14:paraId="29F4EAAE">
            <w:pPr>
              <w:spacing w:line="320" w:lineRule="exact"/>
              <w:jc w:val="center"/>
            </w:pPr>
          </w:p>
        </w:tc>
        <w:tc>
          <w:tcPr>
            <w:tcW w:w="534" w:type="pct"/>
          </w:tcPr>
          <w:p w14:paraId="33DBD99F">
            <w:pPr>
              <w:spacing w:line="320" w:lineRule="exact"/>
              <w:jc w:val="center"/>
            </w:pPr>
          </w:p>
        </w:tc>
      </w:tr>
      <w:tr w14:paraId="31A912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trPr>
        <w:tc>
          <w:tcPr>
            <w:tcW w:w="883" w:type="pct"/>
          </w:tcPr>
          <w:p w14:paraId="56088A5A">
            <w:pPr>
              <w:spacing w:line="320" w:lineRule="exact"/>
              <w:ind w:left="0" w:firstLine="240" w:firstLineChars="100"/>
            </w:pPr>
            <w:r>
              <w:rPr>
                <w:rFonts w:hint="eastAsia"/>
              </w:rPr>
              <w:t>1.2卸载</w:t>
            </w:r>
            <w:r>
              <w:rPr>
                <w:rFonts w:hint="eastAsia"/>
                <w:i/>
              </w:rPr>
              <w:t>L</w:t>
            </w:r>
          </w:p>
        </w:tc>
        <w:tc>
          <w:tcPr>
            <w:tcW w:w="528" w:type="pct"/>
          </w:tcPr>
          <w:p w14:paraId="20B074DD">
            <w:pPr>
              <w:spacing w:line="320" w:lineRule="exact"/>
              <w:jc w:val="center"/>
            </w:pPr>
          </w:p>
        </w:tc>
        <w:tc>
          <w:tcPr>
            <w:tcW w:w="572" w:type="pct"/>
          </w:tcPr>
          <w:p w14:paraId="2C8017C8">
            <w:pPr>
              <w:spacing w:line="320" w:lineRule="exact"/>
              <w:jc w:val="center"/>
            </w:pPr>
          </w:p>
        </w:tc>
        <w:tc>
          <w:tcPr>
            <w:tcW w:w="638" w:type="pct"/>
          </w:tcPr>
          <w:p w14:paraId="491D10CC">
            <w:pPr>
              <w:spacing w:line="320" w:lineRule="exact"/>
              <w:jc w:val="center"/>
            </w:pPr>
          </w:p>
        </w:tc>
        <w:tc>
          <w:tcPr>
            <w:tcW w:w="549" w:type="pct"/>
          </w:tcPr>
          <w:p w14:paraId="7B1A4456">
            <w:pPr>
              <w:spacing w:line="320" w:lineRule="exact"/>
              <w:jc w:val="center"/>
            </w:pPr>
          </w:p>
        </w:tc>
        <w:tc>
          <w:tcPr>
            <w:tcW w:w="784" w:type="pct"/>
          </w:tcPr>
          <w:p w14:paraId="39BC9C77">
            <w:pPr>
              <w:spacing w:line="320" w:lineRule="exact"/>
              <w:jc w:val="center"/>
            </w:pPr>
          </w:p>
        </w:tc>
        <w:tc>
          <w:tcPr>
            <w:tcW w:w="510" w:type="pct"/>
          </w:tcPr>
          <w:p w14:paraId="13CB5993">
            <w:pPr>
              <w:spacing w:line="320" w:lineRule="exact"/>
              <w:jc w:val="center"/>
            </w:pPr>
          </w:p>
        </w:tc>
        <w:tc>
          <w:tcPr>
            <w:tcW w:w="534" w:type="pct"/>
          </w:tcPr>
          <w:p w14:paraId="7B3815CB">
            <w:pPr>
              <w:spacing w:line="320" w:lineRule="exact"/>
              <w:jc w:val="center"/>
            </w:pPr>
          </w:p>
        </w:tc>
      </w:tr>
      <w:bookmarkEnd w:id="185"/>
      <w:tr w14:paraId="1381BE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trPr>
        <w:tc>
          <w:tcPr>
            <w:tcW w:w="883" w:type="pct"/>
          </w:tcPr>
          <w:p w14:paraId="3E2BCEF9">
            <w:pPr>
              <w:spacing w:line="320" w:lineRule="exact"/>
              <w:ind w:left="0"/>
            </w:pPr>
            <w:bookmarkStart w:id="186" w:name="_Hlk195376160"/>
            <w:r>
              <w:rPr>
                <w:rFonts w:hint="eastAsia"/>
              </w:rPr>
              <w:t>2 加载物料</w:t>
            </w:r>
          </w:p>
        </w:tc>
        <w:tc>
          <w:tcPr>
            <w:tcW w:w="528" w:type="pct"/>
          </w:tcPr>
          <w:p w14:paraId="31AFF2E3">
            <w:pPr>
              <w:spacing w:line="320" w:lineRule="exact"/>
              <w:jc w:val="center"/>
            </w:pPr>
          </w:p>
        </w:tc>
        <w:tc>
          <w:tcPr>
            <w:tcW w:w="572" w:type="pct"/>
          </w:tcPr>
          <w:p w14:paraId="4605AC6E">
            <w:pPr>
              <w:spacing w:line="320" w:lineRule="exact"/>
              <w:jc w:val="center"/>
            </w:pPr>
          </w:p>
        </w:tc>
        <w:tc>
          <w:tcPr>
            <w:tcW w:w="638" w:type="pct"/>
          </w:tcPr>
          <w:p w14:paraId="62B4DA1D">
            <w:pPr>
              <w:spacing w:line="320" w:lineRule="exact"/>
              <w:jc w:val="center"/>
            </w:pPr>
          </w:p>
        </w:tc>
        <w:tc>
          <w:tcPr>
            <w:tcW w:w="549" w:type="pct"/>
          </w:tcPr>
          <w:p w14:paraId="4F2088CA">
            <w:pPr>
              <w:spacing w:line="320" w:lineRule="exact"/>
              <w:jc w:val="center"/>
            </w:pPr>
          </w:p>
        </w:tc>
        <w:tc>
          <w:tcPr>
            <w:tcW w:w="784" w:type="pct"/>
          </w:tcPr>
          <w:p w14:paraId="2E2C89B2">
            <w:pPr>
              <w:spacing w:line="320" w:lineRule="exact"/>
              <w:jc w:val="center"/>
            </w:pPr>
          </w:p>
        </w:tc>
        <w:tc>
          <w:tcPr>
            <w:tcW w:w="510" w:type="pct"/>
          </w:tcPr>
          <w:p w14:paraId="7DAB431C">
            <w:pPr>
              <w:spacing w:line="320" w:lineRule="exact"/>
              <w:jc w:val="center"/>
            </w:pPr>
          </w:p>
        </w:tc>
        <w:tc>
          <w:tcPr>
            <w:tcW w:w="534" w:type="pct"/>
          </w:tcPr>
          <w:p w14:paraId="2E3A7405">
            <w:pPr>
              <w:spacing w:line="320" w:lineRule="exact"/>
              <w:jc w:val="center"/>
            </w:pPr>
          </w:p>
        </w:tc>
      </w:tr>
      <w:bookmarkEnd w:id="183"/>
      <w:bookmarkEnd w:id="184"/>
      <w:bookmarkEnd w:id="186"/>
      <w:tr w14:paraId="32AE05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trPr>
        <w:tc>
          <w:tcPr>
            <w:tcW w:w="883" w:type="pct"/>
          </w:tcPr>
          <w:p w14:paraId="73782626">
            <w:pPr>
              <w:spacing w:line="320" w:lineRule="exact"/>
              <w:ind w:left="0" w:firstLine="240" w:firstLineChars="100"/>
            </w:pPr>
            <w:r>
              <w:rPr>
                <w:rFonts w:hint="eastAsia"/>
              </w:rPr>
              <w:t>2</w:t>
            </w:r>
            <w:r>
              <w:t>.1</w:t>
            </w:r>
            <w:r>
              <w:rPr>
                <w:rFonts w:hint="eastAsia"/>
              </w:rPr>
              <w:t>加载</w:t>
            </w:r>
            <w:r>
              <w:rPr>
                <w:rFonts w:hint="eastAsia"/>
                <w:i/>
              </w:rPr>
              <w:t>L</w:t>
            </w:r>
          </w:p>
        </w:tc>
        <w:tc>
          <w:tcPr>
            <w:tcW w:w="528" w:type="pct"/>
          </w:tcPr>
          <w:p w14:paraId="635C7477">
            <w:pPr>
              <w:spacing w:line="320" w:lineRule="exact"/>
              <w:jc w:val="center"/>
            </w:pPr>
          </w:p>
        </w:tc>
        <w:tc>
          <w:tcPr>
            <w:tcW w:w="572" w:type="pct"/>
          </w:tcPr>
          <w:p w14:paraId="6CECF263">
            <w:pPr>
              <w:spacing w:line="320" w:lineRule="exact"/>
              <w:jc w:val="center"/>
            </w:pPr>
          </w:p>
        </w:tc>
        <w:tc>
          <w:tcPr>
            <w:tcW w:w="638" w:type="pct"/>
          </w:tcPr>
          <w:p w14:paraId="591BB527">
            <w:pPr>
              <w:spacing w:line="320" w:lineRule="exact"/>
              <w:jc w:val="center"/>
            </w:pPr>
          </w:p>
        </w:tc>
        <w:tc>
          <w:tcPr>
            <w:tcW w:w="549" w:type="pct"/>
          </w:tcPr>
          <w:p w14:paraId="1701764F">
            <w:pPr>
              <w:spacing w:line="320" w:lineRule="exact"/>
              <w:jc w:val="center"/>
            </w:pPr>
          </w:p>
        </w:tc>
        <w:tc>
          <w:tcPr>
            <w:tcW w:w="784" w:type="pct"/>
          </w:tcPr>
          <w:p w14:paraId="2E245FB6">
            <w:pPr>
              <w:spacing w:line="320" w:lineRule="exact"/>
              <w:jc w:val="center"/>
            </w:pPr>
          </w:p>
        </w:tc>
        <w:tc>
          <w:tcPr>
            <w:tcW w:w="510" w:type="pct"/>
          </w:tcPr>
          <w:p w14:paraId="447886A2">
            <w:pPr>
              <w:spacing w:line="320" w:lineRule="exact"/>
              <w:jc w:val="center"/>
            </w:pPr>
          </w:p>
        </w:tc>
        <w:tc>
          <w:tcPr>
            <w:tcW w:w="534" w:type="pct"/>
          </w:tcPr>
          <w:p w14:paraId="5ED1D38F">
            <w:pPr>
              <w:spacing w:line="320" w:lineRule="exact"/>
              <w:jc w:val="center"/>
            </w:pPr>
          </w:p>
        </w:tc>
      </w:tr>
      <w:tr w14:paraId="1C04AD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trPr>
        <w:tc>
          <w:tcPr>
            <w:tcW w:w="883" w:type="pct"/>
          </w:tcPr>
          <w:p w14:paraId="591865BD">
            <w:pPr>
              <w:spacing w:line="320" w:lineRule="exact"/>
              <w:ind w:left="0" w:firstLine="240" w:firstLineChars="100"/>
            </w:pPr>
            <w:r>
              <w:rPr>
                <w:rFonts w:hint="eastAsia"/>
              </w:rPr>
              <w:t>2</w:t>
            </w:r>
            <w:r>
              <w:t>.2</w:t>
            </w:r>
            <w:r>
              <w:rPr>
                <w:rFonts w:hint="eastAsia"/>
              </w:rPr>
              <w:t>卸载</w:t>
            </w:r>
            <w:r>
              <w:rPr>
                <w:rFonts w:hint="eastAsia"/>
                <w:i/>
              </w:rPr>
              <w:t>L</w:t>
            </w:r>
          </w:p>
        </w:tc>
        <w:tc>
          <w:tcPr>
            <w:tcW w:w="528" w:type="pct"/>
          </w:tcPr>
          <w:p w14:paraId="1803EA3D">
            <w:pPr>
              <w:spacing w:line="320" w:lineRule="exact"/>
              <w:jc w:val="center"/>
            </w:pPr>
          </w:p>
        </w:tc>
        <w:tc>
          <w:tcPr>
            <w:tcW w:w="572" w:type="pct"/>
          </w:tcPr>
          <w:p w14:paraId="693DF32F">
            <w:pPr>
              <w:spacing w:line="320" w:lineRule="exact"/>
              <w:jc w:val="center"/>
            </w:pPr>
          </w:p>
        </w:tc>
        <w:tc>
          <w:tcPr>
            <w:tcW w:w="638" w:type="pct"/>
          </w:tcPr>
          <w:p w14:paraId="08A747CA">
            <w:pPr>
              <w:spacing w:line="320" w:lineRule="exact"/>
              <w:jc w:val="center"/>
            </w:pPr>
          </w:p>
        </w:tc>
        <w:tc>
          <w:tcPr>
            <w:tcW w:w="549" w:type="pct"/>
          </w:tcPr>
          <w:p w14:paraId="1479D193">
            <w:pPr>
              <w:spacing w:line="320" w:lineRule="exact"/>
              <w:jc w:val="center"/>
            </w:pPr>
          </w:p>
        </w:tc>
        <w:tc>
          <w:tcPr>
            <w:tcW w:w="784" w:type="pct"/>
          </w:tcPr>
          <w:p w14:paraId="2069A8EE">
            <w:pPr>
              <w:spacing w:line="320" w:lineRule="exact"/>
              <w:jc w:val="center"/>
            </w:pPr>
          </w:p>
        </w:tc>
        <w:tc>
          <w:tcPr>
            <w:tcW w:w="510" w:type="pct"/>
          </w:tcPr>
          <w:p w14:paraId="1082729A">
            <w:pPr>
              <w:spacing w:line="320" w:lineRule="exact"/>
              <w:jc w:val="center"/>
            </w:pPr>
          </w:p>
        </w:tc>
        <w:tc>
          <w:tcPr>
            <w:tcW w:w="534" w:type="pct"/>
          </w:tcPr>
          <w:p w14:paraId="77734400">
            <w:pPr>
              <w:spacing w:line="320" w:lineRule="exact"/>
              <w:jc w:val="center"/>
            </w:pPr>
          </w:p>
        </w:tc>
      </w:tr>
      <w:tr w14:paraId="5F8DB0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trPr>
        <w:tc>
          <w:tcPr>
            <w:tcW w:w="883" w:type="pct"/>
          </w:tcPr>
          <w:p w14:paraId="7A8DABB4">
            <w:pPr>
              <w:spacing w:line="320" w:lineRule="exact"/>
              <w:ind w:left="0"/>
            </w:pPr>
            <w:r>
              <w:rPr>
                <w:rFonts w:hint="eastAsia"/>
              </w:rPr>
              <w:t>3</w:t>
            </w:r>
            <w:r>
              <w:t xml:space="preserve"> </w:t>
            </w:r>
            <w:r>
              <w:rPr>
                <w:rFonts w:hint="eastAsia"/>
              </w:rPr>
              <w:t>加载物料</w:t>
            </w:r>
          </w:p>
        </w:tc>
        <w:tc>
          <w:tcPr>
            <w:tcW w:w="528" w:type="pct"/>
          </w:tcPr>
          <w:p w14:paraId="280104BD">
            <w:pPr>
              <w:spacing w:line="320" w:lineRule="exact"/>
              <w:jc w:val="center"/>
            </w:pPr>
          </w:p>
        </w:tc>
        <w:tc>
          <w:tcPr>
            <w:tcW w:w="572" w:type="pct"/>
          </w:tcPr>
          <w:p w14:paraId="4A1F9350">
            <w:pPr>
              <w:spacing w:line="320" w:lineRule="exact"/>
              <w:jc w:val="center"/>
            </w:pPr>
          </w:p>
        </w:tc>
        <w:tc>
          <w:tcPr>
            <w:tcW w:w="638" w:type="pct"/>
          </w:tcPr>
          <w:p w14:paraId="386336EF">
            <w:pPr>
              <w:spacing w:line="320" w:lineRule="exact"/>
              <w:jc w:val="center"/>
            </w:pPr>
          </w:p>
        </w:tc>
        <w:tc>
          <w:tcPr>
            <w:tcW w:w="549" w:type="pct"/>
          </w:tcPr>
          <w:p w14:paraId="513F449E">
            <w:pPr>
              <w:spacing w:line="320" w:lineRule="exact"/>
              <w:jc w:val="center"/>
            </w:pPr>
          </w:p>
        </w:tc>
        <w:tc>
          <w:tcPr>
            <w:tcW w:w="784" w:type="pct"/>
          </w:tcPr>
          <w:p w14:paraId="03383A6B">
            <w:pPr>
              <w:spacing w:line="320" w:lineRule="exact"/>
              <w:jc w:val="center"/>
            </w:pPr>
          </w:p>
        </w:tc>
        <w:tc>
          <w:tcPr>
            <w:tcW w:w="510" w:type="pct"/>
          </w:tcPr>
          <w:p w14:paraId="1F25C642">
            <w:pPr>
              <w:spacing w:line="320" w:lineRule="exact"/>
              <w:jc w:val="center"/>
            </w:pPr>
          </w:p>
        </w:tc>
        <w:tc>
          <w:tcPr>
            <w:tcW w:w="534" w:type="pct"/>
          </w:tcPr>
          <w:p w14:paraId="07338BFA">
            <w:pPr>
              <w:spacing w:line="320" w:lineRule="exact"/>
              <w:jc w:val="center"/>
            </w:pPr>
          </w:p>
        </w:tc>
      </w:tr>
      <w:tr w14:paraId="345B98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trPr>
        <w:tc>
          <w:tcPr>
            <w:tcW w:w="883" w:type="pct"/>
          </w:tcPr>
          <w:p w14:paraId="59BB6DBC">
            <w:pPr>
              <w:spacing w:line="320" w:lineRule="exact"/>
              <w:ind w:left="0" w:firstLine="240" w:firstLineChars="100"/>
            </w:pPr>
            <w:r>
              <w:rPr>
                <w:rFonts w:hint="eastAsia"/>
              </w:rPr>
              <w:t>3</w:t>
            </w:r>
            <w:r>
              <w:t>.1</w:t>
            </w:r>
            <w:r>
              <w:rPr>
                <w:rFonts w:hint="eastAsia"/>
              </w:rPr>
              <w:t>加载</w:t>
            </w:r>
            <w:r>
              <w:rPr>
                <w:i/>
              </w:rPr>
              <w:t>L</w:t>
            </w:r>
          </w:p>
        </w:tc>
        <w:tc>
          <w:tcPr>
            <w:tcW w:w="528" w:type="pct"/>
          </w:tcPr>
          <w:p w14:paraId="066DB4F2">
            <w:pPr>
              <w:spacing w:line="320" w:lineRule="exact"/>
              <w:jc w:val="center"/>
            </w:pPr>
          </w:p>
        </w:tc>
        <w:tc>
          <w:tcPr>
            <w:tcW w:w="572" w:type="pct"/>
          </w:tcPr>
          <w:p w14:paraId="39C34DC1">
            <w:pPr>
              <w:spacing w:line="320" w:lineRule="exact"/>
              <w:jc w:val="center"/>
            </w:pPr>
          </w:p>
        </w:tc>
        <w:tc>
          <w:tcPr>
            <w:tcW w:w="638" w:type="pct"/>
          </w:tcPr>
          <w:p w14:paraId="148AB48A">
            <w:pPr>
              <w:spacing w:line="320" w:lineRule="exact"/>
              <w:jc w:val="center"/>
            </w:pPr>
          </w:p>
        </w:tc>
        <w:tc>
          <w:tcPr>
            <w:tcW w:w="549" w:type="pct"/>
          </w:tcPr>
          <w:p w14:paraId="283CDA4A">
            <w:pPr>
              <w:spacing w:line="320" w:lineRule="exact"/>
              <w:jc w:val="center"/>
            </w:pPr>
          </w:p>
        </w:tc>
        <w:tc>
          <w:tcPr>
            <w:tcW w:w="784" w:type="pct"/>
          </w:tcPr>
          <w:p w14:paraId="418F1FA6">
            <w:pPr>
              <w:spacing w:line="320" w:lineRule="exact"/>
              <w:jc w:val="center"/>
            </w:pPr>
          </w:p>
        </w:tc>
        <w:tc>
          <w:tcPr>
            <w:tcW w:w="510" w:type="pct"/>
          </w:tcPr>
          <w:p w14:paraId="2ABE0A2F">
            <w:pPr>
              <w:spacing w:line="320" w:lineRule="exact"/>
              <w:jc w:val="center"/>
            </w:pPr>
          </w:p>
        </w:tc>
        <w:tc>
          <w:tcPr>
            <w:tcW w:w="534" w:type="pct"/>
          </w:tcPr>
          <w:p w14:paraId="57996F9C">
            <w:pPr>
              <w:spacing w:line="320" w:lineRule="exact"/>
              <w:jc w:val="center"/>
            </w:pPr>
          </w:p>
        </w:tc>
      </w:tr>
      <w:tr w14:paraId="48F3DA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trPr>
        <w:tc>
          <w:tcPr>
            <w:tcW w:w="883" w:type="pct"/>
          </w:tcPr>
          <w:p w14:paraId="3905989B">
            <w:pPr>
              <w:spacing w:line="320" w:lineRule="exact"/>
              <w:ind w:left="0" w:firstLine="240" w:firstLineChars="100"/>
            </w:pPr>
            <w:r>
              <w:rPr>
                <w:rFonts w:hint="eastAsia"/>
              </w:rPr>
              <w:t>3</w:t>
            </w:r>
            <w:r>
              <w:t>.2</w:t>
            </w:r>
            <w:r>
              <w:rPr>
                <w:rFonts w:hint="eastAsia"/>
              </w:rPr>
              <w:t>卸载</w:t>
            </w:r>
            <w:r>
              <w:rPr>
                <w:i/>
              </w:rPr>
              <w:t>L</w:t>
            </w:r>
          </w:p>
        </w:tc>
        <w:tc>
          <w:tcPr>
            <w:tcW w:w="528" w:type="pct"/>
          </w:tcPr>
          <w:p w14:paraId="26BC3F1D">
            <w:pPr>
              <w:spacing w:line="320" w:lineRule="exact"/>
              <w:jc w:val="center"/>
            </w:pPr>
          </w:p>
        </w:tc>
        <w:tc>
          <w:tcPr>
            <w:tcW w:w="572" w:type="pct"/>
          </w:tcPr>
          <w:p w14:paraId="1ECDF5FB">
            <w:pPr>
              <w:spacing w:line="320" w:lineRule="exact"/>
              <w:jc w:val="center"/>
            </w:pPr>
          </w:p>
        </w:tc>
        <w:tc>
          <w:tcPr>
            <w:tcW w:w="638" w:type="pct"/>
          </w:tcPr>
          <w:p w14:paraId="5E626BBC">
            <w:pPr>
              <w:spacing w:line="320" w:lineRule="exact"/>
              <w:jc w:val="center"/>
            </w:pPr>
          </w:p>
        </w:tc>
        <w:tc>
          <w:tcPr>
            <w:tcW w:w="549" w:type="pct"/>
          </w:tcPr>
          <w:p w14:paraId="00CBE511">
            <w:pPr>
              <w:spacing w:line="320" w:lineRule="exact"/>
              <w:jc w:val="center"/>
            </w:pPr>
          </w:p>
        </w:tc>
        <w:tc>
          <w:tcPr>
            <w:tcW w:w="784" w:type="pct"/>
          </w:tcPr>
          <w:p w14:paraId="291F6185">
            <w:pPr>
              <w:spacing w:line="320" w:lineRule="exact"/>
              <w:jc w:val="center"/>
            </w:pPr>
          </w:p>
        </w:tc>
        <w:tc>
          <w:tcPr>
            <w:tcW w:w="510" w:type="pct"/>
          </w:tcPr>
          <w:p w14:paraId="33ECE277">
            <w:pPr>
              <w:spacing w:line="320" w:lineRule="exact"/>
              <w:jc w:val="center"/>
            </w:pPr>
          </w:p>
        </w:tc>
        <w:tc>
          <w:tcPr>
            <w:tcW w:w="534" w:type="pct"/>
          </w:tcPr>
          <w:p w14:paraId="21B8C896">
            <w:pPr>
              <w:spacing w:line="320" w:lineRule="exact"/>
              <w:jc w:val="center"/>
            </w:pPr>
          </w:p>
        </w:tc>
      </w:tr>
      <w:tr w14:paraId="3FB3ED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trPr>
        <w:tc>
          <w:tcPr>
            <w:tcW w:w="883" w:type="pct"/>
          </w:tcPr>
          <w:p w14:paraId="4E0105B8">
            <w:pPr>
              <w:spacing w:line="320" w:lineRule="exact"/>
              <w:ind w:left="0"/>
            </w:pPr>
            <w:r>
              <w:rPr>
                <w:rFonts w:hint="eastAsia"/>
              </w:rPr>
              <w:t>4</w:t>
            </w:r>
            <w:r>
              <w:t xml:space="preserve"> </w:t>
            </w:r>
            <w:r>
              <w:rPr>
                <w:rFonts w:hint="eastAsia"/>
              </w:rPr>
              <w:t>加载物料</w:t>
            </w:r>
          </w:p>
        </w:tc>
        <w:tc>
          <w:tcPr>
            <w:tcW w:w="528" w:type="pct"/>
          </w:tcPr>
          <w:p w14:paraId="18452FAD">
            <w:pPr>
              <w:spacing w:line="320" w:lineRule="exact"/>
              <w:jc w:val="center"/>
            </w:pPr>
          </w:p>
        </w:tc>
        <w:tc>
          <w:tcPr>
            <w:tcW w:w="572" w:type="pct"/>
          </w:tcPr>
          <w:p w14:paraId="3142AC6E">
            <w:pPr>
              <w:spacing w:line="320" w:lineRule="exact"/>
              <w:jc w:val="center"/>
            </w:pPr>
          </w:p>
        </w:tc>
        <w:tc>
          <w:tcPr>
            <w:tcW w:w="638" w:type="pct"/>
          </w:tcPr>
          <w:p w14:paraId="65DDD4B8">
            <w:pPr>
              <w:spacing w:line="320" w:lineRule="exact"/>
              <w:jc w:val="center"/>
            </w:pPr>
          </w:p>
        </w:tc>
        <w:tc>
          <w:tcPr>
            <w:tcW w:w="549" w:type="pct"/>
          </w:tcPr>
          <w:p w14:paraId="0A36921B">
            <w:pPr>
              <w:spacing w:line="320" w:lineRule="exact"/>
              <w:jc w:val="center"/>
            </w:pPr>
          </w:p>
        </w:tc>
        <w:tc>
          <w:tcPr>
            <w:tcW w:w="784" w:type="pct"/>
          </w:tcPr>
          <w:p w14:paraId="6A8FC190">
            <w:pPr>
              <w:spacing w:line="320" w:lineRule="exact"/>
              <w:jc w:val="center"/>
            </w:pPr>
          </w:p>
        </w:tc>
        <w:tc>
          <w:tcPr>
            <w:tcW w:w="510" w:type="pct"/>
          </w:tcPr>
          <w:p w14:paraId="2801B484">
            <w:pPr>
              <w:spacing w:line="320" w:lineRule="exact"/>
              <w:jc w:val="center"/>
            </w:pPr>
          </w:p>
        </w:tc>
        <w:tc>
          <w:tcPr>
            <w:tcW w:w="534" w:type="pct"/>
          </w:tcPr>
          <w:p w14:paraId="6476E173">
            <w:pPr>
              <w:spacing w:line="320" w:lineRule="exact"/>
              <w:jc w:val="center"/>
            </w:pPr>
          </w:p>
        </w:tc>
      </w:tr>
      <w:tr w14:paraId="50497C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trPr>
        <w:tc>
          <w:tcPr>
            <w:tcW w:w="883" w:type="pct"/>
          </w:tcPr>
          <w:p w14:paraId="749D5B49">
            <w:pPr>
              <w:spacing w:line="320" w:lineRule="exact"/>
              <w:ind w:left="0" w:firstLine="240" w:firstLineChars="100"/>
            </w:pPr>
            <w:r>
              <w:rPr>
                <w:rFonts w:hint="eastAsia"/>
              </w:rPr>
              <w:t>4</w:t>
            </w:r>
            <w:r>
              <w:t>.1</w:t>
            </w:r>
            <w:r>
              <w:rPr>
                <w:rFonts w:hint="eastAsia"/>
              </w:rPr>
              <w:t>加载</w:t>
            </w:r>
            <w:r>
              <w:rPr>
                <w:i/>
              </w:rPr>
              <w:t>L</w:t>
            </w:r>
          </w:p>
        </w:tc>
        <w:tc>
          <w:tcPr>
            <w:tcW w:w="528" w:type="pct"/>
          </w:tcPr>
          <w:p w14:paraId="53C3FE39">
            <w:pPr>
              <w:spacing w:line="320" w:lineRule="exact"/>
              <w:jc w:val="center"/>
            </w:pPr>
          </w:p>
        </w:tc>
        <w:tc>
          <w:tcPr>
            <w:tcW w:w="572" w:type="pct"/>
          </w:tcPr>
          <w:p w14:paraId="20FCB08B">
            <w:pPr>
              <w:spacing w:line="320" w:lineRule="exact"/>
              <w:jc w:val="center"/>
            </w:pPr>
          </w:p>
        </w:tc>
        <w:tc>
          <w:tcPr>
            <w:tcW w:w="638" w:type="pct"/>
          </w:tcPr>
          <w:p w14:paraId="190D8430">
            <w:pPr>
              <w:spacing w:line="320" w:lineRule="exact"/>
              <w:jc w:val="center"/>
            </w:pPr>
          </w:p>
        </w:tc>
        <w:tc>
          <w:tcPr>
            <w:tcW w:w="549" w:type="pct"/>
          </w:tcPr>
          <w:p w14:paraId="3694E80D">
            <w:pPr>
              <w:spacing w:line="320" w:lineRule="exact"/>
              <w:jc w:val="center"/>
            </w:pPr>
          </w:p>
        </w:tc>
        <w:tc>
          <w:tcPr>
            <w:tcW w:w="784" w:type="pct"/>
          </w:tcPr>
          <w:p w14:paraId="0997008F">
            <w:pPr>
              <w:spacing w:line="320" w:lineRule="exact"/>
              <w:jc w:val="center"/>
            </w:pPr>
          </w:p>
        </w:tc>
        <w:tc>
          <w:tcPr>
            <w:tcW w:w="510" w:type="pct"/>
          </w:tcPr>
          <w:p w14:paraId="00FD2C85">
            <w:pPr>
              <w:spacing w:line="320" w:lineRule="exact"/>
              <w:jc w:val="center"/>
            </w:pPr>
          </w:p>
        </w:tc>
        <w:tc>
          <w:tcPr>
            <w:tcW w:w="534" w:type="pct"/>
          </w:tcPr>
          <w:p w14:paraId="0BA19122">
            <w:pPr>
              <w:spacing w:line="320" w:lineRule="exact"/>
              <w:jc w:val="center"/>
            </w:pPr>
          </w:p>
        </w:tc>
      </w:tr>
      <w:tr w14:paraId="2D85C5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trPr>
        <w:tc>
          <w:tcPr>
            <w:tcW w:w="883" w:type="pct"/>
          </w:tcPr>
          <w:p w14:paraId="2E31743E">
            <w:pPr>
              <w:spacing w:line="320" w:lineRule="exact"/>
              <w:ind w:left="0" w:firstLine="240" w:firstLineChars="100"/>
            </w:pPr>
            <w:r>
              <w:rPr>
                <w:rFonts w:hint="eastAsia"/>
              </w:rPr>
              <w:t>4</w:t>
            </w:r>
            <w:r>
              <w:t>.2</w:t>
            </w:r>
            <w:r>
              <w:rPr>
                <w:rFonts w:hint="eastAsia"/>
              </w:rPr>
              <w:t>卸载</w:t>
            </w:r>
            <w:r>
              <w:rPr>
                <w:i/>
              </w:rPr>
              <w:t>L</w:t>
            </w:r>
          </w:p>
        </w:tc>
        <w:tc>
          <w:tcPr>
            <w:tcW w:w="528" w:type="pct"/>
          </w:tcPr>
          <w:p w14:paraId="3A453269">
            <w:pPr>
              <w:spacing w:line="320" w:lineRule="exact"/>
              <w:jc w:val="center"/>
            </w:pPr>
          </w:p>
        </w:tc>
        <w:tc>
          <w:tcPr>
            <w:tcW w:w="572" w:type="pct"/>
          </w:tcPr>
          <w:p w14:paraId="0BABAF5A">
            <w:pPr>
              <w:spacing w:line="320" w:lineRule="exact"/>
              <w:jc w:val="center"/>
            </w:pPr>
          </w:p>
        </w:tc>
        <w:tc>
          <w:tcPr>
            <w:tcW w:w="638" w:type="pct"/>
          </w:tcPr>
          <w:p w14:paraId="5472D4EE">
            <w:pPr>
              <w:spacing w:line="320" w:lineRule="exact"/>
              <w:jc w:val="center"/>
            </w:pPr>
          </w:p>
        </w:tc>
        <w:tc>
          <w:tcPr>
            <w:tcW w:w="549" w:type="pct"/>
          </w:tcPr>
          <w:p w14:paraId="545F8201">
            <w:pPr>
              <w:spacing w:line="320" w:lineRule="exact"/>
              <w:jc w:val="center"/>
            </w:pPr>
          </w:p>
        </w:tc>
        <w:tc>
          <w:tcPr>
            <w:tcW w:w="784" w:type="pct"/>
          </w:tcPr>
          <w:p w14:paraId="6F0B4E81">
            <w:pPr>
              <w:spacing w:line="320" w:lineRule="exact"/>
              <w:jc w:val="center"/>
            </w:pPr>
          </w:p>
        </w:tc>
        <w:tc>
          <w:tcPr>
            <w:tcW w:w="510" w:type="pct"/>
          </w:tcPr>
          <w:p w14:paraId="1FCFAB84">
            <w:pPr>
              <w:spacing w:line="320" w:lineRule="exact"/>
              <w:jc w:val="center"/>
            </w:pPr>
          </w:p>
        </w:tc>
        <w:tc>
          <w:tcPr>
            <w:tcW w:w="534" w:type="pct"/>
          </w:tcPr>
          <w:p w14:paraId="7CF3BC25">
            <w:pPr>
              <w:spacing w:line="320" w:lineRule="exact"/>
              <w:jc w:val="center"/>
            </w:pPr>
          </w:p>
        </w:tc>
      </w:tr>
      <w:tr w14:paraId="09E001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trPr>
        <w:tc>
          <w:tcPr>
            <w:tcW w:w="883" w:type="pct"/>
          </w:tcPr>
          <w:p w14:paraId="7FF42609">
            <w:pPr>
              <w:spacing w:line="320" w:lineRule="exact"/>
              <w:ind w:left="0"/>
            </w:pPr>
            <w:r>
              <w:rPr>
                <w:rFonts w:hint="eastAsia"/>
              </w:rPr>
              <w:t>5</w:t>
            </w:r>
            <w:r>
              <w:t xml:space="preserve"> </w:t>
            </w:r>
            <w:r>
              <w:rPr>
                <w:rFonts w:hint="eastAsia"/>
              </w:rPr>
              <w:t>加载物料</w:t>
            </w:r>
          </w:p>
        </w:tc>
        <w:tc>
          <w:tcPr>
            <w:tcW w:w="528" w:type="pct"/>
          </w:tcPr>
          <w:p w14:paraId="54642AFE">
            <w:pPr>
              <w:spacing w:line="320" w:lineRule="exact"/>
              <w:jc w:val="center"/>
            </w:pPr>
          </w:p>
        </w:tc>
        <w:tc>
          <w:tcPr>
            <w:tcW w:w="572" w:type="pct"/>
          </w:tcPr>
          <w:p w14:paraId="21D238B4">
            <w:pPr>
              <w:spacing w:line="320" w:lineRule="exact"/>
              <w:jc w:val="center"/>
            </w:pPr>
          </w:p>
        </w:tc>
        <w:tc>
          <w:tcPr>
            <w:tcW w:w="638" w:type="pct"/>
          </w:tcPr>
          <w:p w14:paraId="18D6107C">
            <w:pPr>
              <w:spacing w:line="320" w:lineRule="exact"/>
              <w:jc w:val="center"/>
            </w:pPr>
          </w:p>
        </w:tc>
        <w:tc>
          <w:tcPr>
            <w:tcW w:w="549" w:type="pct"/>
          </w:tcPr>
          <w:p w14:paraId="67431646">
            <w:pPr>
              <w:spacing w:line="320" w:lineRule="exact"/>
              <w:jc w:val="center"/>
            </w:pPr>
          </w:p>
        </w:tc>
        <w:tc>
          <w:tcPr>
            <w:tcW w:w="784" w:type="pct"/>
          </w:tcPr>
          <w:p w14:paraId="13BA623C">
            <w:pPr>
              <w:spacing w:line="320" w:lineRule="exact"/>
              <w:jc w:val="center"/>
            </w:pPr>
          </w:p>
        </w:tc>
        <w:tc>
          <w:tcPr>
            <w:tcW w:w="510" w:type="pct"/>
          </w:tcPr>
          <w:p w14:paraId="7057535D">
            <w:pPr>
              <w:spacing w:line="320" w:lineRule="exact"/>
              <w:jc w:val="center"/>
            </w:pPr>
          </w:p>
        </w:tc>
        <w:tc>
          <w:tcPr>
            <w:tcW w:w="534" w:type="pct"/>
          </w:tcPr>
          <w:p w14:paraId="61260022">
            <w:pPr>
              <w:spacing w:line="320" w:lineRule="exact"/>
              <w:jc w:val="center"/>
            </w:pPr>
          </w:p>
        </w:tc>
      </w:tr>
      <w:tr w14:paraId="70387E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trPr>
        <w:tc>
          <w:tcPr>
            <w:tcW w:w="883" w:type="pct"/>
          </w:tcPr>
          <w:p w14:paraId="7199F99B">
            <w:pPr>
              <w:spacing w:line="320" w:lineRule="exact"/>
              <w:ind w:left="0" w:firstLine="240" w:firstLineChars="100"/>
            </w:pPr>
            <w:r>
              <w:rPr>
                <w:rFonts w:hint="eastAsia"/>
              </w:rPr>
              <w:t>5</w:t>
            </w:r>
            <w:r>
              <w:t>.1</w:t>
            </w:r>
            <w:r>
              <w:rPr>
                <w:rFonts w:hint="eastAsia"/>
              </w:rPr>
              <w:t>加载</w:t>
            </w:r>
            <w:r>
              <w:rPr>
                <w:i/>
              </w:rPr>
              <w:t>L</w:t>
            </w:r>
          </w:p>
        </w:tc>
        <w:tc>
          <w:tcPr>
            <w:tcW w:w="528" w:type="pct"/>
          </w:tcPr>
          <w:p w14:paraId="3B099C7B">
            <w:pPr>
              <w:spacing w:line="320" w:lineRule="exact"/>
              <w:jc w:val="center"/>
            </w:pPr>
          </w:p>
        </w:tc>
        <w:tc>
          <w:tcPr>
            <w:tcW w:w="572" w:type="pct"/>
          </w:tcPr>
          <w:p w14:paraId="7AC4E72F">
            <w:pPr>
              <w:spacing w:line="320" w:lineRule="exact"/>
              <w:jc w:val="center"/>
            </w:pPr>
          </w:p>
        </w:tc>
        <w:tc>
          <w:tcPr>
            <w:tcW w:w="638" w:type="pct"/>
          </w:tcPr>
          <w:p w14:paraId="6EE5E15E">
            <w:pPr>
              <w:spacing w:line="320" w:lineRule="exact"/>
              <w:jc w:val="center"/>
            </w:pPr>
          </w:p>
        </w:tc>
        <w:tc>
          <w:tcPr>
            <w:tcW w:w="549" w:type="pct"/>
          </w:tcPr>
          <w:p w14:paraId="0403D78D">
            <w:pPr>
              <w:spacing w:line="320" w:lineRule="exact"/>
              <w:jc w:val="center"/>
            </w:pPr>
          </w:p>
        </w:tc>
        <w:tc>
          <w:tcPr>
            <w:tcW w:w="784" w:type="pct"/>
          </w:tcPr>
          <w:p w14:paraId="2270EE34">
            <w:pPr>
              <w:spacing w:line="320" w:lineRule="exact"/>
              <w:jc w:val="center"/>
            </w:pPr>
          </w:p>
        </w:tc>
        <w:tc>
          <w:tcPr>
            <w:tcW w:w="510" w:type="pct"/>
          </w:tcPr>
          <w:p w14:paraId="616EFA49">
            <w:pPr>
              <w:spacing w:line="320" w:lineRule="exact"/>
              <w:jc w:val="center"/>
            </w:pPr>
          </w:p>
        </w:tc>
        <w:tc>
          <w:tcPr>
            <w:tcW w:w="534" w:type="pct"/>
          </w:tcPr>
          <w:p w14:paraId="7984A19A">
            <w:pPr>
              <w:spacing w:line="320" w:lineRule="exact"/>
              <w:jc w:val="center"/>
            </w:pPr>
          </w:p>
        </w:tc>
      </w:tr>
      <w:tr w14:paraId="20732D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trPr>
        <w:tc>
          <w:tcPr>
            <w:tcW w:w="883" w:type="pct"/>
          </w:tcPr>
          <w:p w14:paraId="42483174">
            <w:pPr>
              <w:spacing w:line="320" w:lineRule="exact"/>
              <w:ind w:left="0" w:firstLine="240" w:firstLineChars="100"/>
            </w:pPr>
            <w:r>
              <w:rPr>
                <w:rFonts w:hint="eastAsia"/>
              </w:rPr>
              <w:t>5</w:t>
            </w:r>
            <w:r>
              <w:t>.2</w:t>
            </w:r>
            <w:r>
              <w:rPr>
                <w:rFonts w:hint="eastAsia"/>
              </w:rPr>
              <w:t>卸载</w:t>
            </w:r>
            <w:r>
              <w:rPr>
                <w:i/>
              </w:rPr>
              <w:t>L</w:t>
            </w:r>
          </w:p>
        </w:tc>
        <w:tc>
          <w:tcPr>
            <w:tcW w:w="528" w:type="pct"/>
          </w:tcPr>
          <w:p w14:paraId="669E17AA">
            <w:pPr>
              <w:spacing w:line="320" w:lineRule="exact"/>
              <w:jc w:val="center"/>
            </w:pPr>
          </w:p>
        </w:tc>
        <w:tc>
          <w:tcPr>
            <w:tcW w:w="572" w:type="pct"/>
          </w:tcPr>
          <w:p w14:paraId="59FEBD82">
            <w:pPr>
              <w:spacing w:line="320" w:lineRule="exact"/>
              <w:jc w:val="center"/>
            </w:pPr>
          </w:p>
        </w:tc>
        <w:tc>
          <w:tcPr>
            <w:tcW w:w="638" w:type="pct"/>
          </w:tcPr>
          <w:p w14:paraId="1CB8FB85">
            <w:pPr>
              <w:spacing w:line="320" w:lineRule="exact"/>
              <w:jc w:val="center"/>
            </w:pPr>
          </w:p>
        </w:tc>
        <w:tc>
          <w:tcPr>
            <w:tcW w:w="549" w:type="pct"/>
          </w:tcPr>
          <w:p w14:paraId="7F95E83E">
            <w:pPr>
              <w:spacing w:line="320" w:lineRule="exact"/>
              <w:jc w:val="center"/>
            </w:pPr>
          </w:p>
        </w:tc>
        <w:tc>
          <w:tcPr>
            <w:tcW w:w="784" w:type="pct"/>
          </w:tcPr>
          <w:p w14:paraId="34FB84F1">
            <w:pPr>
              <w:spacing w:line="320" w:lineRule="exact"/>
              <w:jc w:val="center"/>
            </w:pPr>
          </w:p>
        </w:tc>
        <w:tc>
          <w:tcPr>
            <w:tcW w:w="510" w:type="pct"/>
          </w:tcPr>
          <w:p w14:paraId="3027D31D">
            <w:pPr>
              <w:spacing w:line="320" w:lineRule="exact"/>
              <w:jc w:val="center"/>
            </w:pPr>
          </w:p>
        </w:tc>
        <w:tc>
          <w:tcPr>
            <w:tcW w:w="534" w:type="pct"/>
          </w:tcPr>
          <w:p w14:paraId="02DAD6E8">
            <w:pPr>
              <w:spacing w:line="320" w:lineRule="exact"/>
              <w:jc w:val="center"/>
            </w:pPr>
          </w:p>
        </w:tc>
      </w:tr>
      <w:tr w14:paraId="6216D9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trPr>
        <w:tc>
          <w:tcPr>
            <w:tcW w:w="883" w:type="pct"/>
          </w:tcPr>
          <w:p w14:paraId="7DB172DB">
            <w:pPr>
              <w:spacing w:line="320" w:lineRule="exact"/>
              <w:ind w:left="0"/>
            </w:pPr>
            <w:r>
              <w:rPr>
                <w:rFonts w:hint="eastAsia"/>
              </w:rPr>
              <w:t>6</w:t>
            </w:r>
            <w:r>
              <w:t xml:space="preserve"> </w:t>
            </w:r>
            <w:r>
              <w:rPr>
                <w:rFonts w:hint="eastAsia"/>
              </w:rPr>
              <w:t>加载物料</w:t>
            </w:r>
          </w:p>
        </w:tc>
        <w:tc>
          <w:tcPr>
            <w:tcW w:w="528" w:type="pct"/>
          </w:tcPr>
          <w:p w14:paraId="1B903ACA">
            <w:pPr>
              <w:spacing w:line="320" w:lineRule="exact"/>
              <w:jc w:val="center"/>
            </w:pPr>
          </w:p>
        </w:tc>
        <w:tc>
          <w:tcPr>
            <w:tcW w:w="572" w:type="pct"/>
          </w:tcPr>
          <w:p w14:paraId="072C1B59">
            <w:pPr>
              <w:spacing w:line="320" w:lineRule="exact"/>
              <w:jc w:val="center"/>
            </w:pPr>
          </w:p>
        </w:tc>
        <w:tc>
          <w:tcPr>
            <w:tcW w:w="638" w:type="pct"/>
          </w:tcPr>
          <w:p w14:paraId="4221CF24">
            <w:pPr>
              <w:spacing w:line="320" w:lineRule="exact"/>
              <w:jc w:val="center"/>
            </w:pPr>
          </w:p>
        </w:tc>
        <w:tc>
          <w:tcPr>
            <w:tcW w:w="549" w:type="pct"/>
          </w:tcPr>
          <w:p w14:paraId="26147F8E">
            <w:pPr>
              <w:spacing w:line="320" w:lineRule="exact"/>
              <w:jc w:val="center"/>
            </w:pPr>
          </w:p>
        </w:tc>
        <w:tc>
          <w:tcPr>
            <w:tcW w:w="784" w:type="pct"/>
          </w:tcPr>
          <w:p w14:paraId="7B6E3E81">
            <w:pPr>
              <w:spacing w:line="320" w:lineRule="exact"/>
              <w:jc w:val="center"/>
            </w:pPr>
          </w:p>
        </w:tc>
        <w:tc>
          <w:tcPr>
            <w:tcW w:w="510" w:type="pct"/>
          </w:tcPr>
          <w:p w14:paraId="4F60C57C">
            <w:pPr>
              <w:spacing w:line="320" w:lineRule="exact"/>
              <w:jc w:val="center"/>
            </w:pPr>
          </w:p>
        </w:tc>
        <w:tc>
          <w:tcPr>
            <w:tcW w:w="534" w:type="pct"/>
          </w:tcPr>
          <w:p w14:paraId="4E85122B">
            <w:pPr>
              <w:spacing w:line="320" w:lineRule="exact"/>
              <w:jc w:val="center"/>
            </w:pPr>
          </w:p>
        </w:tc>
      </w:tr>
      <w:tr w14:paraId="2933D0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trPr>
        <w:tc>
          <w:tcPr>
            <w:tcW w:w="883" w:type="pct"/>
          </w:tcPr>
          <w:p w14:paraId="21A5FA6E">
            <w:pPr>
              <w:spacing w:line="320" w:lineRule="exact"/>
              <w:ind w:left="0" w:firstLine="240" w:firstLineChars="100"/>
            </w:pPr>
            <w:r>
              <w:rPr>
                <w:rFonts w:hint="eastAsia"/>
              </w:rPr>
              <w:t>6</w:t>
            </w:r>
            <w:r>
              <w:t>.1</w:t>
            </w:r>
            <w:r>
              <w:rPr>
                <w:rFonts w:hint="eastAsia"/>
              </w:rPr>
              <w:t>加载</w:t>
            </w:r>
            <w:r>
              <w:rPr>
                <w:i/>
              </w:rPr>
              <w:t>L</w:t>
            </w:r>
          </w:p>
        </w:tc>
        <w:tc>
          <w:tcPr>
            <w:tcW w:w="528" w:type="pct"/>
          </w:tcPr>
          <w:p w14:paraId="77850481">
            <w:pPr>
              <w:spacing w:line="320" w:lineRule="exact"/>
              <w:jc w:val="center"/>
            </w:pPr>
          </w:p>
        </w:tc>
        <w:tc>
          <w:tcPr>
            <w:tcW w:w="572" w:type="pct"/>
          </w:tcPr>
          <w:p w14:paraId="450AD20F">
            <w:pPr>
              <w:spacing w:line="320" w:lineRule="exact"/>
              <w:jc w:val="center"/>
            </w:pPr>
          </w:p>
        </w:tc>
        <w:tc>
          <w:tcPr>
            <w:tcW w:w="638" w:type="pct"/>
          </w:tcPr>
          <w:p w14:paraId="4B295367">
            <w:pPr>
              <w:spacing w:line="320" w:lineRule="exact"/>
              <w:jc w:val="center"/>
            </w:pPr>
          </w:p>
        </w:tc>
        <w:tc>
          <w:tcPr>
            <w:tcW w:w="549" w:type="pct"/>
          </w:tcPr>
          <w:p w14:paraId="0B717AFA">
            <w:pPr>
              <w:spacing w:line="320" w:lineRule="exact"/>
              <w:jc w:val="center"/>
            </w:pPr>
          </w:p>
        </w:tc>
        <w:tc>
          <w:tcPr>
            <w:tcW w:w="784" w:type="pct"/>
          </w:tcPr>
          <w:p w14:paraId="1B877328">
            <w:pPr>
              <w:spacing w:line="320" w:lineRule="exact"/>
              <w:jc w:val="center"/>
            </w:pPr>
          </w:p>
        </w:tc>
        <w:tc>
          <w:tcPr>
            <w:tcW w:w="510" w:type="pct"/>
          </w:tcPr>
          <w:p w14:paraId="3659910F">
            <w:pPr>
              <w:spacing w:line="320" w:lineRule="exact"/>
              <w:jc w:val="center"/>
            </w:pPr>
          </w:p>
        </w:tc>
        <w:tc>
          <w:tcPr>
            <w:tcW w:w="534" w:type="pct"/>
          </w:tcPr>
          <w:p w14:paraId="251EC9E3">
            <w:pPr>
              <w:spacing w:line="320" w:lineRule="exact"/>
              <w:jc w:val="center"/>
            </w:pPr>
          </w:p>
        </w:tc>
      </w:tr>
      <w:tr w14:paraId="589F4C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trPr>
        <w:tc>
          <w:tcPr>
            <w:tcW w:w="883" w:type="pct"/>
          </w:tcPr>
          <w:p w14:paraId="43CCB9BA">
            <w:pPr>
              <w:spacing w:line="320" w:lineRule="exact"/>
              <w:ind w:left="0" w:firstLine="240" w:firstLineChars="100"/>
            </w:pPr>
            <w:r>
              <w:rPr>
                <w:rFonts w:hint="eastAsia"/>
              </w:rPr>
              <w:t>6</w:t>
            </w:r>
            <w:r>
              <w:t>.2</w:t>
            </w:r>
            <w:r>
              <w:rPr>
                <w:rFonts w:hint="eastAsia"/>
              </w:rPr>
              <w:t>卸载</w:t>
            </w:r>
            <w:r>
              <w:rPr>
                <w:i/>
              </w:rPr>
              <w:t>L</w:t>
            </w:r>
          </w:p>
        </w:tc>
        <w:tc>
          <w:tcPr>
            <w:tcW w:w="528" w:type="pct"/>
          </w:tcPr>
          <w:p w14:paraId="1FFDF4C8">
            <w:pPr>
              <w:spacing w:line="320" w:lineRule="exact"/>
              <w:jc w:val="center"/>
            </w:pPr>
          </w:p>
        </w:tc>
        <w:tc>
          <w:tcPr>
            <w:tcW w:w="572" w:type="pct"/>
          </w:tcPr>
          <w:p w14:paraId="6CA458D2">
            <w:pPr>
              <w:spacing w:line="320" w:lineRule="exact"/>
              <w:jc w:val="center"/>
            </w:pPr>
          </w:p>
        </w:tc>
        <w:tc>
          <w:tcPr>
            <w:tcW w:w="638" w:type="pct"/>
          </w:tcPr>
          <w:p w14:paraId="77F06B05">
            <w:pPr>
              <w:spacing w:line="320" w:lineRule="exact"/>
              <w:jc w:val="center"/>
            </w:pPr>
          </w:p>
        </w:tc>
        <w:tc>
          <w:tcPr>
            <w:tcW w:w="549" w:type="pct"/>
          </w:tcPr>
          <w:p w14:paraId="5D468D09">
            <w:pPr>
              <w:spacing w:line="320" w:lineRule="exact"/>
              <w:jc w:val="center"/>
            </w:pPr>
          </w:p>
        </w:tc>
        <w:tc>
          <w:tcPr>
            <w:tcW w:w="784" w:type="pct"/>
          </w:tcPr>
          <w:p w14:paraId="769D7399">
            <w:pPr>
              <w:spacing w:line="320" w:lineRule="exact"/>
              <w:jc w:val="center"/>
            </w:pPr>
          </w:p>
        </w:tc>
        <w:tc>
          <w:tcPr>
            <w:tcW w:w="510" w:type="pct"/>
          </w:tcPr>
          <w:p w14:paraId="1168B2EA">
            <w:pPr>
              <w:spacing w:line="320" w:lineRule="exact"/>
              <w:jc w:val="center"/>
            </w:pPr>
          </w:p>
        </w:tc>
        <w:tc>
          <w:tcPr>
            <w:tcW w:w="534" w:type="pct"/>
          </w:tcPr>
          <w:p w14:paraId="78A47812">
            <w:pPr>
              <w:spacing w:line="320" w:lineRule="exact"/>
              <w:jc w:val="center"/>
            </w:pPr>
          </w:p>
        </w:tc>
      </w:tr>
      <w:tr w14:paraId="052803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trPr>
        <w:tc>
          <w:tcPr>
            <w:tcW w:w="1411" w:type="pct"/>
            <w:gridSpan w:val="2"/>
            <w:tcBorders>
              <w:top w:val="single" w:color="auto" w:sz="4" w:space="0"/>
              <w:left w:val="single" w:color="auto" w:sz="4" w:space="0"/>
              <w:bottom w:val="single" w:color="auto" w:sz="4" w:space="0"/>
              <w:right w:val="single" w:color="auto" w:sz="4" w:space="0"/>
            </w:tcBorders>
          </w:tcPr>
          <w:p w14:paraId="7239CA63">
            <w:pPr>
              <w:spacing w:line="320" w:lineRule="exact"/>
              <w:jc w:val="center"/>
            </w:pPr>
            <w:bookmarkStart w:id="187" w:name="_Hlk197857150"/>
            <w:r>
              <w:rPr>
                <w:rFonts w:hint="eastAsia"/>
              </w:rPr>
              <w:t>7 卸载回零后零点</w:t>
            </w:r>
          </w:p>
        </w:tc>
        <w:tc>
          <w:tcPr>
            <w:tcW w:w="572" w:type="pct"/>
            <w:tcBorders>
              <w:top w:val="single" w:color="auto" w:sz="4" w:space="0"/>
              <w:left w:val="single" w:color="auto" w:sz="4" w:space="0"/>
              <w:bottom w:val="single" w:color="auto" w:sz="4" w:space="0"/>
              <w:right w:val="single" w:color="auto" w:sz="4" w:space="0"/>
            </w:tcBorders>
          </w:tcPr>
          <w:p w14:paraId="2E161DB8">
            <w:pPr>
              <w:spacing w:line="320" w:lineRule="exact"/>
              <w:jc w:val="center"/>
            </w:pPr>
          </w:p>
        </w:tc>
        <w:tc>
          <w:tcPr>
            <w:tcW w:w="638" w:type="pct"/>
            <w:tcBorders>
              <w:top w:val="single" w:color="auto" w:sz="4" w:space="0"/>
              <w:left w:val="single" w:color="auto" w:sz="4" w:space="0"/>
              <w:bottom w:val="single" w:color="auto" w:sz="4" w:space="0"/>
              <w:right w:val="single" w:color="auto" w:sz="4" w:space="0"/>
            </w:tcBorders>
          </w:tcPr>
          <w:p w14:paraId="217EE919">
            <w:pPr>
              <w:spacing w:line="320" w:lineRule="exact"/>
              <w:jc w:val="center"/>
            </w:pPr>
          </w:p>
        </w:tc>
        <w:tc>
          <w:tcPr>
            <w:tcW w:w="549" w:type="pct"/>
            <w:tcBorders>
              <w:top w:val="single" w:color="auto" w:sz="4" w:space="0"/>
              <w:left w:val="single" w:color="auto" w:sz="4" w:space="0"/>
              <w:bottom w:val="single" w:color="auto" w:sz="4" w:space="0"/>
              <w:right w:val="single" w:color="auto" w:sz="4" w:space="0"/>
            </w:tcBorders>
          </w:tcPr>
          <w:p w14:paraId="1CC121FA">
            <w:pPr>
              <w:spacing w:line="320" w:lineRule="exact"/>
              <w:jc w:val="center"/>
            </w:pPr>
          </w:p>
        </w:tc>
        <w:tc>
          <w:tcPr>
            <w:tcW w:w="784" w:type="pct"/>
            <w:tcBorders>
              <w:top w:val="single" w:color="auto" w:sz="4" w:space="0"/>
              <w:left w:val="single" w:color="auto" w:sz="4" w:space="0"/>
              <w:bottom w:val="single" w:color="auto" w:sz="4" w:space="0"/>
              <w:right w:val="single" w:color="auto" w:sz="4" w:space="0"/>
            </w:tcBorders>
          </w:tcPr>
          <w:p w14:paraId="384128A5">
            <w:pPr>
              <w:spacing w:line="320" w:lineRule="exact"/>
              <w:jc w:val="center"/>
            </w:pPr>
          </w:p>
        </w:tc>
        <w:tc>
          <w:tcPr>
            <w:tcW w:w="510" w:type="pct"/>
            <w:tcBorders>
              <w:top w:val="single" w:color="auto" w:sz="4" w:space="0"/>
              <w:left w:val="single" w:color="auto" w:sz="4" w:space="0"/>
              <w:bottom w:val="single" w:color="auto" w:sz="4" w:space="0"/>
              <w:right w:val="single" w:color="auto" w:sz="4" w:space="0"/>
            </w:tcBorders>
          </w:tcPr>
          <w:p w14:paraId="36C11DF4">
            <w:pPr>
              <w:spacing w:line="320" w:lineRule="exact"/>
              <w:jc w:val="center"/>
            </w:pPr>
          </w:p>
        </w:tc>
        <w:tc>
          <w:tcPr>
            <w:tcW w:w="534" w:type="pct"/>
            <w:tcBorders>
              <w:top w:val="single" w:color="auto" w:sz="4" w:space="0"/>
              <w:left w:val="single" w:color="auto" w:sz="4" w:space="0"/>
              <w:bottom w:val="single" w:color="auto" w:sz="4" w:space="0"/>
              <w:right w:val="single" w:color="auto" w:sz="4" w:space="0"/>
            </w:tcBorders>
          </w:tcPr>
          <w:p w14:paraId="29A6F594">
            <w:pPr>
              <w:spacing w:line="320" w:lineRule="exact"/>
              <w:jc w:val="center"/>
            </w:pPr>
          </w:p>
        </w:tc>
      </w:tr>
      <w:bookmarkEnd w:id="179"/>
      <w:bookmarkEnd w:id="180"/>
      <w:bookmarkEnd w:id="187"/>
    </w:tbl>
    <w:p w14:paraId="6B241C62">
      <w:pPr>
        <w:pStyle w:val="61"/>
        <w:spacing w:before="156" w:beforeLines="50" w:after="156" w:afterLines="50" w:line="360" w:lineRule="auto"/>
        <w:ind w:left="408" w:firstLine="0" w:firstLineChars="0"/>
        <w:rPr>
          <w:szCs w:val="21"/>
        </w:rPr>
      </w:pPr>
    </w:p>
    <w:p w14:paraId="6361DAAE">
      <w:pPr>
        <w:pStyle w:val="61"/>
        <w:numPr>
          <w:ilvl w:val="0"/>
          <w:numId w:val="3"/>
        </w:numPr>
        <w:spacing w:before="156" w:beforeLines="50" w:after="156" w:afterLines="50" w:line="360" w:lineRule="auto"/>
        <w:ind w:left="408" w:hanging="408" w:hangingChars="170"/>
        <w:rPr>
          <w:szCs w:val="21"/>
        </w:rPr>
      </w:pPr>
      <w:r>
        <w:rPr>
          <w:rFonts w:hint="eastAsia"/>
        </w:rPr>
        <w:t>重复性</w:t>
      </w:r>
      <w:r>
        <w:t xml:space="preserve"> </w:t>
      </w:r>
      <w:bookmarkStart w:id="188" w:name="OLE_LINK161"/>
      <w:bookmarkStart w:id="189" w:name="OLE_LINK160"/>
      <w:r>
        <w:t xml:space="preserve"> </w:t>
      </w:r>
      <w:bookmarkStart w:id="190" w:name="OLE_LINK40"/>
      <w:bookmarkStart w:id="191" w:name="OLE_LINK63"/>
      <w:bookmarkStart w:id="192" w:name="OLE_LINK39"/>
      <w:r>
        <w:rPr>
          <w:rFonts w:hint="eastAsia"/>
        </w:rPr>
        <w:t>50%</w:t>
      </w:r>
      <w:bookmarkEnd w:id="190"/>
      <w:r>
        <w:rPr>
          <w:rFonts w:hint="eastAsia"/>
          <w:iCs/>
        </w:rPr>
        <w:t>Max</w:t>
      </w:r>
      <w:r>
        <w:t>=</w:t>
      </w:r>
      <w:bookmarkEnd w:id="191"/>
      <w:r>
        <w:rPr>
          <w:u w:val="single"/>
        </w:rPr>
        <w:t xml:space="preserve">            </w:t>
      </w:r>
      <w:r>
        <w:rPr>
          <w:rFonts w:hint="eastAsia"/>
        </w:rPr>
        <w:t>，</w:t>
      </w:r>
      <w:bookmarkEnd w:id="188"/>
      <w:bookmarkEnd w:id="189"/>
      <w:r>
        <w:rPr>
          <w:i/>
        </w:rPr>
        <w:t>E</w:t>
      </w:r>
      <w:r>
        <w:rPr>
          <w:vertAlign w:val="subscript"/>
        </w:rPr>
        <w:t>max</w:t>
      </w:r>
      <w:r>
        <w:t>-</w:t>
      </w:r>
      <w:r>
        <w:rPr>
          <w:i/>
        </w:rPr>
        <w:t>E</w:t>
      </w:r>
      <w:r>
        <w:rPr>
          <w:vertAlign w:val="subscript"/>
        </w:rPr>
        <w:t>min</w:t>
      </w:r>
      <w:r>
        <w:t xml:space="preserve">= </w:t>
      </w:r>
      <w:r>
        <w:rPr>
          <w:u w:val="single"/>
        </w:rPr>
        <w:t xml:space="preserve">         </w:t>
      </w:r>
      <w:r>
        <w:t xml:space="preserve"> </w:t>
      </w:r>
      <w:bookmarkEnd w:id="192"/>
    </w:p>
    <w:tbl>
      <w:tblPr>
        <w:tblStyle w:val="21"/>
        <w:tblW w:w="491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73"/>
        <w:gridCol w:w="2480"/>
        <w:gridCol w:w="2151"/>
        <w:gridCol w:w="2155"/>
      </w:tblGrid>
      <w:tr w14:paraId="06C79D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1413" w:type="pct"/>
            <w:vAlign w:val="center"/>
          </w:tcPr>
          <w:p w14:paraId="3C0F2173">
            <w:pPr>
              <w:spacing w:line="320" w:lineRule="exact"/>
              <w:jc w:val="center"/>
            </w:pPr>
            <w:bookmarkStart w:id="193" w:name="OLE_LINK53"/>
            <w:r>
              <w:rPr>
                <w:rFonts w:hint="eastAsia"/>
              </w:rPr>
              <w:t>载荷</w:t>
            </w:r>
          </w:p>
        </w:tc>
        <w:tc>
          <w:tcPr>
            <w:tcW w:w="1311" w:type="pct"/>
            <w:vAlign w:val="center"/>
          </w:tcPr>
          <w:p w14:paraId="2B830342">
            <w:pPr>
              <w:spacing w:line="320" w:lineRule="exact"/>
              <w:jc w:val="center"/>
            </w:pPr>
            <w:r>
              <w:rPr>
                <w:rFonts w:hint="eastAsia"/>
              </w:rPr>
              <w:t>示值</w:t>
            </w:r>
            <w:r>
              <w:rPr>
                <w:rFonts w:hint="eastAsia"/>
                <w:i/>
              </w:rPr>
              <w:t xml:space="preserve">I </w:t>
            </w:r>
            <w:r>
              <w:rPr>
                <w:rFonts w:hint="eastAsia"/>
              </w:rPr>
              <w:t xml:space="preserve">( </w:t>
            </w:r>
            <w:bookmarkStart w:id="194" w:name="OLE_LINK48"/>
            <w:bookmarkStart w:id="195" w:name="OLE_LINK47"/>
            <w:r>
              <w:rPr>
                <w:rFonts w:hint="eastAsia"/>
              </w:rPr>
              <w:t xml:space="preserve">   </w:t>
            </w:r>
            <w:bookmarkEnd w:id="194"/>
            <w:bookmarkEnd w:id="195"/>
            <w:r>
              <w:rPr>
                <w:rFonts w:hint="eastAsia"/>
              </w:rPr>
              <w:t>)</w:t>
            </w:r>
          </w:p>
        </w:tc>
        <w:tc>
          <w:tcPr>
            <w:tcW w:w="1137" w:type="pct"/>
            <w:vAlign w:val="center"/>
          </w:tcPr>
          <w:p w14:paraId="5C20C395">
            <w:pPr>
              <w:spacing w:line="320" w:lineRule="exact"/>
              <w:jc w:val="center"/>
            </w:pPr>
            <w:r>
              <w:rPr>
                <w:rFonts w:hint="eastAsia"/>
              </w:rPr>
              <w:t>附加砝码</w:t>
            </w:r>
            <w:r>
              <w:rPr>
                <w:rFonts w:hint="eastAsia" w:eastAsia="Batang"/>
              </w:rPr>
              <w:t>∆</w:t>
            </w:r>
            <w:r>
              <w:rPr>
                <w:rFonts w:hint="eastAsia"/>
                <w:i/>
              </w:rPr>
              <w:t>L</w:t>
            </w:r>
          </w:p>
          <w:p w14:paraId="6FFC0557">
            <w:pPr>
              <w:spacing w:line="320" w:lineRule="exact"/>
              <w:jc w:val="center"/>
            </w:pPr>
            <w:r>
              <w:rPr>
                <w:rFonts w:hint="eastAsia"/>
              </w:rPr>
              <w:t>(   )</w:t>
            </w:r>
          </w:p>
        </w:tc>
        <w:tc>
          <w:tcPr>
            <w:tcW w:w="1139" w:type="pct"/>
            <w:vAlign w:val="center"/>
          </w:tcPr>
          <w:p w14:paraId="3265CF1F">
            <w:pPr>
              <w:spacing w:line="320" w:lineRule="exact"/>
              <w:jc w:val="center"/>
              <w:rPr>
                <w:rFonts w:eastAsia="Batang"/>
              </w:rPr>
            </w:pPr>
            <w:r>
              <w:rPr>
                <w:rFonts w:hint="eastAsia"/>
              </w:rPr>
              <w:t>误差</w:t>
            </w:r>
            <w:r>
              <w:rPr>
                <w:rFonts w:hint="eastAsia"/>
                <w:i/>
              </w:rPr>
              <w:t>E</w:t>
            </w:r>
            <w:r>
              <w:rPr>
                <w:rFonts w:hint="eastAsia"/>
              </w:rPr>
              <w:t xml:space="preserve">( </w:t>
            </w:r>
            <w:r>
              <w:rPr>
                <w:rFonts w:hint="eastAsia"/>
                <w:i/>
              </w:rPr>
              <w:t xml:space="preserve"> </w:t>
            </w:r>
            <w:r>
              <w:rPr>
                <w:rFonts w:hint="eastAsia"/>
              </w:rPr>
              <w:t>)</w:t>
            </w:r>
          </w:p>
        </w:tc>
      </w:tr>
      <w:tr w14:paraId="42D9C1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8" w:hRule="atLeast"/>
        </w:trPr>
        <w:tc>
          <w:tcPr>
            <w:tcW w:w="1413" w:type="pct"/>
          </w:tcPr>
          <w:p w14:paraId="32E38554">
            <w:pPr>
              <w:pStyle w:val="61"/>
              <w:numPr>
                <w:ilvl w:val="0"/>
                <w:numId w:val="4"/>
              </w:numPr>
              <w:spacing w:line="320" w:lineRule="exact"/>
              <w:ind w:firstLineChars="0"/>
            </w:pPr>
            <w:bookmarkStart w:id="196" w:name="_Hlk195380497"/>
            <w:r>
              <w:rPr>
                <w:rFonts w:hint="eastAsia"/>
              </w:rPr>
              <w:t>50%</w:t>
            </w:r>
            <w:r>
              <w:rPr>
                <w:rFonts w:hint="eastAsia"/>
                <w:iCs/>
              </w:rPr>
              <w:t>Max</w:t>
            </w:r>
          </w:p>
        </w:tc>
        <w:tc>
          <w:tcPr>
            <w:tcW w:w="1311" w:type="pct"/>
            <w:vAlign w:val="center"/>
          </w:tcPr>
          <w:p w14:paraId="5D7EC3E7">
            <w:pPr>
              <w:spacing w:line="320" w:lineRule="exact"/>
              <w:jc w:val="center"/>
            </w:pPr>
          </w:p>
        </w:tc>
        <w:tc>
          <w:tcPr>
            <w:tcW w:w="1137" w:type="pct"/>
            <w:vAlign w:val="center"/>
          </w:tcPr>
          <w:p w14:paraId="632E4D55">
            <w:pPr>
              <w:spacing w:line="320" w:lineRule="exact"/>
              <w:jc w:val="center"/>
            </w:pPr>
          </w:p>
        </w:tc>
        <w:tc>
          <w:tcPr>
            <w:tcW w:w="1139" w:type="pct"/>
            <w:vAlign w:val="center"/>
          </w:tcPr>
          <w:p w14:paraId="02599C9C">
            <w:pPr>
              <w:spacing w:line="320" w:lineRule="exact"/>
              <w:jc w:val="center"/>
            </w:pPr>
          </w:p>
        </w:tc>
      </w:tr>
      <w:tr w14:paraId="1C64DA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3" w:hRule="atLeast"/>
        </w:trPr>
        <w:tc>
          <w:tcPr>
            <w:tcW w:w="1413" w:type="pct"/>
          </w:tcPr>
          <w:p w14:paraId="36D8618A">
            <w:pPr>
              <w:spacing w:line="320" w:lineRule="exact"/>
              <w:ind w:left="0" w:firstLine="240" w:firstLineChars="100"/>
            </w:pPr>
            <w:r>
              <w:rPr>
                <w:rFonts w:hint="eastAsia"/>
              </w:rPr>
              <w:t>1.1加载</w:t>
            </w:r>
            <w:r>
              <w:rPr>
                <w:rFonts w:hint="eastAsia"/>
                <w:i/>
              </w:rPr>
              <w:t>L</w:t>
            </w:r>
          </w:p>
        </w:tc>
        <w:tc>
          <w:tcPr>
            <w:tcW w:w="1311" w:type="pct"/>
            <w:vAlign w:val="center"/>
          </w:tcPr>
          <w:p w14:paraId="2622C413">
            <w:pPr>
              <w:spacing w:line="320" w:lineRule="exact"/>
              <w:jc w:val="center"/>
            </w:pPr>
          </w:p>
        </w:tc>
        <w:tc>
          <w:tcPr>
            <w:tcW w:w="1137" w:type="pct"/>
            <w:vAlign w:val="center"/>
          </w:tcPr>
          <w:p w14:paraId="1EC8D7AF">
            <w:pPr>
              <w:spacing w:line="320" w:lineRule="exact"/>
              <w:jc w:val="center"/>
            </w:pPr>
          </w:p>
        </w:tc>
        <w:tc>
          <w:tcPr>
            <w:tcW w:w="1139" w:type="pct"/>
            <w:vAlign w:val="center"/>
          </w:tcPr>
          <w:p w14:paraId="1A0712B1">
            <w:pPr>
              <w:spacing w:line="320" w:lineRule="exact"/>
              <w:jc w:val="center"/>
            </w:pPr>
          </w:p>
        </w:tc>
      </w:tr>
      <w:tr w14:paraId="3D50F7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8" w:hRule="atLeast"/>
        </w:trPr>
        <w:tc>
          <w:tcPr>
            <w:tcW w:w="1413" w:type="pct"/>
          </w:tcPr>
          <w:p w14:paraId="640D348E">
            <w:pPr>
              <w:spacing w:line="320" w:lineRule="exact"/>
              <w:ind w:left="0" w:firstLine="240" w:firstLineChars="100"/>
            </w:pPr>
            <w:r>
              <w:rPr>
                <w:rFonts w:hint="eastAsia"/>
              </w:rPr>
              <w:t>1.2卸载</w:t>
            </w:r>
            <w:r>
              <w:rPr>
                <w:rFonts w:hint="eastAsia"/>
                <w:i/>
              </w:rPr>
              <w:t>L</w:t>
            </w:r>
          </w:p>
        </w:tc>
        <w:tc>
          <w:tcPr>
            <w:tcW w:w="1311" w:type="pct"/>
            <w:vAlign w:val="center"/>
          </w:tcPr>
          <w:p w14:paraId="69A608A5">
            <w:pPr>
              <w:spacing w:line="320" w:lineRule="exact"/>
              <w:jc w:val="center"/>
            </w:pPr>
          </w:p>
        </w:tc>
        <w:tc>
          <w:tcPr>
            <w:tcW w:w="1137" w:type="pct"/>
            <w:vAlign w:val="center"/>
          </w:tcPr>
          <w:p w14:paraId="21A692B6">
            <w:pPr>
              <w:spacing w:line="320" w:lineRule="exact"/>
              <w:jc w:val="center"/>
            </w:pPr>
          </w:p>
        </w:tc>
        <w:tc>
          <w:tcPr>
            <w:tcW w:w="1139" w:type="pct"/>
            <w:vAlign w:val="center"/>
          </w:tcPr>
          <w:p w14:paraId="0E5711C2">
            <w:pPr>
              <w:spacing w:line="320" w:lineRule="exact"/>
              <w:jc w:val="center"/>
            </w:pPr>
          </w:p>
        </w:tc>
      </w:tr>
      <w:tr w14:paraId="2187BF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3" w:hRule="atLeast"/>
        </w:trPr>
        <w:tc>
          <w:tcPr>
            <w:tcW w:w="1413" w:type="pct"/>
          </w:tcPr>
          <w:p w14:paraId="6631C48D">
            <w:pPr>
              <w:spacing w:line="320" w:lineRule="exact"/>
              <w:ind w:left="0" w:firstLine="240" w:firstLineChars="100"/>
            </w:pPr>
            <w:r>
              <w:rPr>
                <w:rFonts w:hint="eastAsia"/>
              </w:rPr>
              <w:t>2</w:t>
            </w:r>
            <w:r>
              <w:t>.1</w:t>
            </w:r>
            <w:r>
              <w:rPr>
                <w:rFonts w:hint="eastAsia"/>
              </w:rPr>
              <w:t>加载</w:t>
            </w:r>
            <w:r>
              <w:rPr>
                <w:rFonts w:hint="eastAsia"/>
                <w:i/>
              </w:rPr>
              <w:t>L</w:t>
            </w:r>
          </w:p>
        </w:tc>
        <w:tc>
          <w:tcPr>
            <w:tcW w:w="1311" w:type="pct"/>
            <w:vAlign w:val="center"/>
          </w:tcPr>
          <w:p w14:paraId="1E4E43E5">
            <w:pPr>
              <w:spacing w:line="320" w:lineRule="exact"/>
              <w:jc w:val="center"/>
            </w:pPr>
          </w:p>
        </w:tc>
        <w:tc>
          <w:tcPr>
            <w:tcW w:w="1137" w:type="pct"/>
            <w:vAlign w:val="center"/>
          </w:tcPr>
          <w:p w14:paraId="3B8F6688">
            <w:pPr>
              <w:spacing w:line="320" w:lineRule="exact"/>
              <w:jc w:val="center"/>
            </w:pPr>
          </w:p>
        </w:tc>
        <w:tc>
          <w:tcPr>
            <w:tcW w:w="1139" w:type="pct"/>
            <w:vAlign w:val="center"/>
          </w:tcPr>
          <w:p w14:paraId="075D4E0B">
            <w:pPr>
              <w:spacing w:line="320" w:lineRule="exact"/>
              <w:jc w:val="center"/>
            </w:pPr>
          </w:p>
        </w:tc>
      </w:tr>
      <w:tr w14:paraId="365D80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8" w:hRule="atLeast"/>
        </w:trPr>
        <w:tc>
          <w:tcPr>
            <w:tcW w:w="1413" w:type="pct"/>
          </w:tcPr>
          <w:p w14:paraId="6FC20B57">
            <w:pPr>
              <w:spacing w:line="320" w:lineRule="exact"/>
              <w:ind w:left="0" w:firstLine="240" w:firstLineChars="100"/>
            </w:pPr>
            <w:r>
              <w:rPr>
                <w:rFonts w:hint="eastAsia"/>
              </w:rPr>
              <w:t>2</w:t>
            </w:r>
            <w:r>
              <w:t>.2</w:t>
            </w:r>
            <w:r>
              <w:rPr>
                <w:rFonts w:hint="eastAsia"/>
              </w:rPr>
              <w:t>卸载</w:t>
            </w:r>
            <w:r>
              <w:rPr>
                <w:rFonts w:hint="eastAsia"/>
                <w:i/>
              </w:rPr>
              <w:t>L</w:t>
            </w:r>
          </w:p>
        </w:tc>
        <w:tc>
          <w:tcPr>
            <w:tcW w:w="1311" w:type="pct"/>
            <w:vAlign w:val="center"/>
          </w:tcPr>
          <w:p w14:paraId="0239EED0">
            <w:pPr>
              <w:spacing w:line="320" w:lineRule="exact"/>
              <w:jc w:val="center"/>
            </w:pPr>
          </w:p>
        </w:tc>
        <w:tc>
          <w:tcPr>
            <w:tcW w:w="1137" w:type="pct"/>
            <w:vAlign w:val="center"/>
          </w:tcPr>
          <w:p w14:paraId="038B4BC0">
            <w:pPr>
              <w:spacing w:line="320" w:lineRule="exact"/>
              <w:jc w:val="center"/>
            </w:pPr>
          </w:p>
        </w:tc>
        <w:tc>
          <w:tcPr>
            <w:tcW w:w="1139" w:type="pct"/>
            <w:vAlign w:val="center"/>
          </w:tcPr>
          <w:p w14:paraId="11E5C259">
            <w:pPr>
              <w:spacing w:line="320" w:lineRule="exact"/>
              <w:jc w:val="center"/>
            </w:pPr>
          </w:p>
        </w:tc>
      </w:tr>
      <w:tr w14:paraId="2FC7E1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3" w:hRule="atLeast"/>
        </w:trPr>
        <w:tc>
          <w:tcPr>
            <w:tcW w:w="1413" w:type="pct"/>
          </w:tcPr>
          <w:p w14:paraId="3C0EF7FA">
            <w:pPr>
              <w:spacing w:line="320" w:lineRule="exact"/>
              <w:ind w:left="0" w:firstLine="240" w:firstLineChars="100"/>
            </w:pPr>
            <w:r>
              <w:rPr>
                <w:rFonts w:hint="eastAsia"/>
              </w:rPr>
              <w:t>3</w:t>
            </w:r>
            <w:r>
              <w:t>.1</w:t>
            </w:r>
            <w:r>
              <w:rPr>
                <w:rFonts w:hint="eastAsia"/>
              </w:rPr>
              <w:t>加载</w:t>
            </w:r>
            <w:r>
              <w:rPr>
                <w:i/>
              </w:rPr>
              <w:t>L</w:t>
            </w:r>
          </w:p>
        </w:tc>
        <w:tc>
          <w:tcPr>
            <w:tcW w:w="1311" w:type="pct"/>
            <w:vAlign w:val="center"/>
          </w:tcPr>
          <w:p w14:paraId="254BFB41">
            <w:pPr>
              <w:spacing w:line="320" w:lineRule="exact"/>
              <w:jc w:val="center"/>
            </w:pPr>
          </w:p>
        </w:tc>
        <w:tc>
          <w:tcPr>
            <w:tcW w:w="1137" w:type="pct"/>
            <w:vAlign w:val="center"/>
          </w:tcPr>
          <w:p w14:paraId="6EF2A063">
            <w:pPr>
              <w:spacing w:line="320" w:lineRule="exact"/>
              <w:jc w:val="center"/>
            </w:pPr>
          </w:p>
        </w:tc>
        <w:tc>
          <w:tcPr>
            <w:tcW w:w="1139" w:type="pct"/>
            <w:vAlign w:val="center"/>
          </w:tcPr>
          <w:p w14:paraId="6CFFE382">
            <w:pPr>
              <w:spacing w:line="320" w:lineRule="exact"/>
              <w:jc w:val="center"/>
            </w:pPr>
          </w:p>
        </w:tc>
      </w:tr>
      <w:tr w14:paraId="516A87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8" w:hRule="atLeast"/>
        </w:trPr>
        <w:tc>
          <w:tcPr>
            <w:tcW w:w="1413" w:type="pct"/>
          </w:tcPr>
          <w:p w14:paraId="222854AE">
            <w:pPr>
              <w:spacing w:line="320" w:lineRule="exact"/>
              <w:ind w:left="0" w:firstLine="240" w:firstLineChars="100"/>
            </w:pPr>
            <w:bookmarkStart w:id="197" w:name="OLE_LINK43"/>
            <w:r>
              <w:rPr>
                <w:rFonts w:hint="eastAsia"/>
              </w:rPr>
              <w:t>3</w:t>
            </w:r>
            <w:r>
              <w:t>.2</w:t>
            </w:r>
            <w:r>
              <w:rPr>
                <w:rFonts w:hint="eastAsia"/>
              </w:rPr>
              <w:t>卸载</w:t>
            </w:r>
            <w:r>
              <w:rPr>
                <w:i/>
              </w:rPr>
              <w:t>L</w:t>
            </w:r>
            <w:bookmarkEnd w:id="197"/>
          </w:p>
        </w:tc>
        <w:tc>
          <w:tcPr>
            <w:tcW w:w="1311" w:type="pct"/>
            <w:vAlign w:val="center"/>
          </w:tcPr>
          <w:p w14:paraId="0045539B">
            <w:pPr>
              <w:spacing w:line="320" w:lineRule="exact"/>
              <w:jc w:val="center"/>
            </w:pPr>
          </w:p>
        </w:tc>
        <w:tc>
          <w:tcPr>
            <w:tcW w:w="1137" w:type="pct"/>
            <w:vAlign w:val="center"/>
          </w:tcPr>
          <w:p w14:paraId="7EA52437">
            <w:pPr>
              <w:spacing w:line="320" w:lineRule="exact"/>
              <w:jc w:val="center"/>
            </w:pPr>
          </w:p>
        </w:tc>
        <w:tc>
          <w:tcPr>
            <w:tcW w:w="1139" w:type="pct"/>
            <w:vAlign w:val="center"/>
          </w:tcPr>
          <w:p w14:paraId="206B5A0E">
            <w:pPr>
              <w:spacing w:line="320" w:lineRule="exact"/>
              <w:jc w:val="center"/>
            </w:pPr>
          </w:p>
        </w:tc>
      </w:tr>
      <w:bookmarkEnd w:id="193"/>
      <w:bookmarkEnd w:id="196"/>
    </w:tbl>
    <w:p w14:paraId="7EDF1C76">
      <w:pPr>
        <w:ind w:left="0"/>
        <w:rPr>
          <w:szCs w:val="21"/>
        </w:rPr>
      </w:pPr>
    </w:p>
    <w:p w14:paraId="5053DED1">
      <w:pPr>
        <w:pStyle w:val="61"/>
        <w:numPr>
          <w:ilvl w:val="0"/>
          <w:numId w:val="3"/>
        </w:numPr>
        <w:spacing w:before="156" w:beforeLines="50" w:after="156" w:afterLines="50" w:line="360" w:lineRule="auto"/>
        <w:ind w:left="408" w:hanging="408" w:hangingChars="170"/>
        <w:rPr>
          <w:szCs w:val="21"/>
        </w:rPr>
      </w:pPr>
      <w:bookmarkStart w:id="198" w:name="OLE_LINK11"/>
      <w:r>
        <w:rPr>
          <w:rFonts w:cs="Courier New"/>
          <w:shd w:val="clear" w:color="auto" w:fill="FFFFFF"/>
        </w:rPr>
        <w:t>同</w:t>
      </w:r>
      <w:r>
        <w:rPr>
          <w:rFonts w:cs="Arial"/>
          <w:shd w:val="clear" w:color="auto" w:fill="FFFFFF"/>
        </w:rPr>
        <w:t>一载荷在不</w:t>
      </w:r>
      <w:r>
        <w:rPr>
          <w:rFonts w:cs="Courier New"/>
          <w:shd w:val="clear" w:color="auto" w:fill="FFFFFF"/>
        </w:rPr>
        <w:t>同</w:t>
      </w:r>
      <w:r>
        <w:rPr>
          <w:rFonts w:cs="Arial"/>
          <w:shd w:val="clear" w:color="auto" w:fill="FFFFFF"/>
        </w:rPr>
        <w:t>位置</w:t>
      </w:r>
      <w:bookmarkEnd w:id="198"/>
      <w:r>
        <w:rPr>
          <w:rFonts w:cs="Arial"/>
          <w:shd w:val="clear" w:color="auto" w:fill="FFFFFF"/>
        </w:rPr>
        <w:t>的示值误差（</w:t>
      </w:r>
      <w:r>
        <w:rPr>
          <w:rFonts w:cs="Courier New"/>
          <w:shd w:val="clear" w:color="auto" w:fill="FFFFFF"/>
        </w:rPr>
        <w:t>若</w:t>
      </w:r>
      <w:r>
        <w:rPr>
          <w:rFonts w:cs="Arial"/>
          <w:shd w:val="clear" w:color="auto" w:fill="FFFFFF"/>
        </w:rPr>
        <w:t>适用）</w:t>
      </w:r>
      <w:r>
        <w:rPr>
          <w:rFonts w:hint="eastAsia"/>
        </w:rPr>
        <w:t xml:space="preserve">   </w:t>
      </w:r>
      <w:r>
        <w:rPr>
          <w:position w:val="-14"/>
        </w:rPr>
        <w:object>
          <v:shape id="_x0000_i1090" o:spt="75" type="#_x0000_t75" style="height:20pt;width:102pt;" o:ole="t" filled="f" o:preferrelative="t" stroked="f" coordsize="21600,21600">
            <v:path/>
            <v:fill on="f" focussize="0,0"/>
            <v:stroke on="f" joinstyle="miter"/>
            <v:imagedata r:id="rId140" o:title=""/>
            <o:lock v:ext="edit" aspectratio="t"/>
            <w10:wrap type="none"/>
            <w10:anchorlock/>
          </v:shape>
          <o:OLEObject Type="Embed" ProgID="Equation.DSMT4" ShapeID="_x0000_i1090" DrawAspect="Content" ObjectID="_1468075790" r:id="rId139">
            <o:LockedField>false</o:LockedField>
          </o:OLEObject>
        </w:object>
      </w:r>
      <w:r>
        <w:rPr>
          <w:u w:val="single"/>
        </w:rPr>
        <w:t xml:space="preserve">         </w:t>
      </w:r>
      <w:r>
        <w:t xml:space="preserve"> </w:t>
      </w:r>
    </w:p>
    <w:tbl>
      <w:tblPr>
        <w:tblStyle w:val="21"/>
        <w:tblW w:w="491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76"/>
        <w:gridCol w:w="2484"/>
        <w:gridCol w:w="2154"/>
        <w:gridCol w:w="2158"/>
      </w:tblGrid>
      <w:tr w14:paraId="20CFD7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 w:hRule="atLeast"/>
        </w:trPr>
        <w:tc>
          <w:tcPr>
            <w:tcW w:w="1413" w:type="pct"/>
            <w:tcBorders>
              <w:top w:val="single" w:color="auto" w:sz="4" w:space="0"/>
              <w:left w:val="single" w:color="auto" w:sz="4" w:space="0"/>
              <w:bottom w:val="single" w:color="auto" w:sz="4" w:space="0"/>
              <w:right w:val="single" w:color="auto" w:sz="4" w:space="0"/>
            </w:tcBorders>
            <w:vAlign w:val="center"/>
          </w:tcPr>
          <w:p w14:paraId="3C97CCD2">
            <w:pPr>
              <w:spacing w:line="320" w:lineRule="exact"/>
              <w:jc w:val="center"/>
            </w:pPr>
            <w:bookmarkStart w:id="199" w:name="OLE_LINK59"/>
            <w:r>
              <w:rPr>
                <w:rFonts w:hint="eastAsia"/>
              </w:rPr>
              <w:t>偏载位置</w:t>
            </w:r>
          </w:p>
        </w:tc>
        <w:tc>
          <w:tcPr>
            <w:tcW w:w="1311" w:type="pct"/>
            <w:tcBorders>
              <w:top w:val="single" w:color="auto" w:sz="4" w:space="0"/>
              <w:left w:val="single" w:color="auto" w:sz="4" w:space="0"/>
              <w:bottom w:val="single" w:color="auto" w:sz="4" w:space="0"/>
              <w:right w:val="single" w:color="auto" w:sz="4" w:space="0"/>
            </w:tcBorders>
            <w:vAlign w:val="center"/>
          </w:tcPr>
          <w:p w14:paraId="2699666A">
            <w:pPr>
              <w:spacing w:line="320" w:lineRule="exact"/>
              <w:jc w:val="center"/>
            </w:pPr>
            <w:r>
              <w:rPr>
                <w:rFonts w:hint="eastAsia"/>
              </w:rPr>
              <w:t>示值</w:t>
            </w:r>
            <w:r>
              <w:rPr>
                <w:i/>
              </w:rPr>
              <w:t xml:space="preserve">I </w:t>
            </w:r>
            <w:r>
              <w:t>(</w:t>
            </w:r>
            <w:r>
              <w:rPr>
                <w:rFonts w:hint="eastAsia"/>
              </w:rPr>
              <w:t xml:space="preserve">  </w:t>
            </w:r>
            <w:r>
              <w:t xml:space="preserve"> )</w:t>
            </w:r>
          </w:p>
        </w:tc>
        <w:tc>
          <w:tcPr>
            <w:tcW w:w="1137" w:type="pct"/>
            <w:tcBorders>
              <w:top w:val="single" w:color="auto" w:sz="4" w:space="0"/>
              <w:left w:val="single" w:color="auto" w:sz="4" w:space="0"/>
              <w:bottom w:val="single" w:color="auto" w:sz="4" w:space="0"/>
              <w:right w:val="single" w:color="auto" w:sz="4" w:space="0"/>
            </w:tcBorders>
            <w:vAlign w:val="center"/>
          </w:tcPr>
          <w:p w14:paraId="65FAA6FB">
            <w:pPr>
              <w:spacing w:line="320" w:lineRule="exact"/>
              <w:jc w:val="center"/>
            </w:pPr>
            <w:r>
              <w:rPr>
                <w:rFonts w:hint="eastAsia"/>
              </w:rPr>
              <w:t>附加砝码</w:t>
            </w:r>
            <w:r>
              <w:rPr>
                <w:rFonts w:hint="eastAsia" w:eastAsia="Batang"/>
              </w:rPr>
              <w:t>∆</w:t>
            </w:r>
            <w:r>
              <w:rPr>
                <w:i/>
              </w:rPr>
              <w:t>L</w:t>
            </w:r>
          </w:p>
          <w:p w14:paraId="5BE4C70B">
            <w:pPr>
              <w:spacing w:line="320" w:lineRule="exact"/>
              <w:jc w:val="center"/>
            </w:pPr>
            <w:r>
              <w:t>(   )</w:t>
            </w:r>
          </w:p>
        </w:tc>
        <w:tc>
          <w:tcPr>
            <w:tcW w:w="1139" w:type="pct"/>
            <w:tcBorders>
              <w:top w:val="single" w:color="auto" w:sz="4" w:space="0"/>
              <w:left w:val="single" w:color="auto" w:sz="4" w:space="0"/>
              <w:bottom w:val="single" w:color="auto" w:sz="4" w:space="0"/>
              <w:right w:val="single" w:color="auto" w:sz="4" w:space="0"/>
            </w:tcBorders>
            <w:vAlign w:val="center"/>
          </w:tcPr>
          <w:p w14:paraId="72B4E55B">
            <w:pPr>
              <w:spacing w:line="320" w:lineRule="exact"/>
              <w:jc w:val="center"/>
              <w:rPr>
                <w:rFonts w:eastAsia="Batang"/>
              </w:rPr>
            </w:pPr>
            <w:r>
              <w:rPr>
                <w:rFonts w:hint="eastAsia"/>
              </w:rPr>
              <w:t>误差</w:t>
            </w:r>
            <w:r>
              <w:rPr>
                <w:i/>
              </w:rPr>
              <w:t>E</w:t>
            </w:r>
            <w:r>
              <w:t xml:space="preserve">( </w:t>
            </w:r>
            <w:r>
              <w:rPr>
                <w:i/>
              </w:rPr>
              <w:t xml:space="preserve"> </w:t>
            </w:r>
            <w:r>
              <w:t>)</w:t>
            </w:r>
          </w:p>
        </w:tc>
      </w:tr>
      <w:tr w14:paraId="60286D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trPr>
        <w:tc>
          <w:tcPr>
            <w:tcW w:w="1413" w:type="pct"/>
            <w:tcBorders>
              <w:top w:val="single" w:color="auto" w:sz="4" w:space="0"/>
              <w:left w:val="single" w:color="auto" w:sz="4" w:space="0"/>
              <w:bottom w:val="single" w:color="auto" w:sz="4" w:space="0"/>
              <w:right w:val="single" w:color="auto" w:sz="4" w:space="0"/>
            </w:tcBorders>
          </w:tcPr>
          <w:p w14:paraId="60903A31">
            <w:pPr>
              <w:pStyle w:val="61"/>
              <w:numPr>
                <w:ilvl w:val="0"/>
                <w:numId w:val="5"/>
              </w:numPr>
              <w:spacing w:line="320" w:lineRule="exact"/>
              <w:ind w:firstLineChars="0"/>
            </w:pPr>
            <w:bookmarkStart w:id="200" w:name="_Hlk195382507"/>
            <w:r>
              <w:rPr>
                <w:rFonts w:hint="eastAsia"/>
              </w:rPr>
              <w:t>30%</w:t>
            </w:r>
            <w:r>
              <w:rPr>
                <w:rFonts w:hint="eastAsia"/>
                <w:iCs/>
              </w:rPr>
              <w:t>Max</w:t>
            </w:r>
          </w:p>
        </w:tc>
        <w:tc>
          <w:tcPr>
            <w:tcW w:w="1311" w:type="pct"/>
            <w:tcBorders>
              <w:top w:val="single" w:color="auto" w:sz="4" w:space="0"/>
              <w:left w:val="single" w:color="auto" w:sz="4" w:space="0"/>
              <w:bottom w:val="single" w:color="auto" w:sz="4" w:space="0"/>
              <w:right w:val="single" w:color="auto" w:sz="4" w:space="0"/>
            </w:tcBorders>
            <w:vAlign w:val="center"/>
          </w:tcPr>
          <w:p w14:paraId="18154990">
            <w:pPr>
              <w:spacing w:line="320" w:lineRule="exact"/>
              <w:jc w:val="center"/>
            </w:pPr>
          </w:p>
        </w:tc>
        <w:tc>
          <w:tcPr>
            <w:tcW w:w="1137" w:type="pct"/>
            <w:tcBorders>
              <w:top w:val="single" w:color="auto" w:sz="4" w:space="0"/>
              <w:left w:val="single" w:color="auto" w:sz="4" w:space="0"/>
              <w:bottom w:val="single" w:color="auto" w:sz="4" w:space="0"/>
              <w:right w:val="single" w:color="auto" w:sz="4" w:space="0"/>
            </w:tcBorders>
            <w:vAlign w:val="center"/>
          </w:tcPr>
          <w:p w14:paraId="03B3D20A">
            <w:pPr>
              <w:spacing w:line="320" w:lineRule="exact"/>
              <w:jc w:val="center"/>
            </w:pPr>
          </w:p>
        </w:tc>
        <w:tc>
          <w:tcPr>
            <w:tcW w:w="1139" w:type="pct"/>
            <w:tcBorders>
              <w:top w:val="single" w:color="auto" w:sz="4" w:space="0"/>
              <w:left w:val="single" w:color="auto" w:sz="4" w:space="0"/>
              <w:bottom w:val="single" w:color="auto" w:sz="4" w:space="0"/>
              <w:right w:val="single" w:color="auto" w:sz="4" w:space="0"/>
            </w:tcBorders>
            <w:vAlign w:val="center"/>
          </w:tcPr>
          <w:p w14:paraId="248D6A01">
            <w:pPr>
              <w:spacing w:line="320" w:lineRule="exact"/>
              <w:jc w:val="center"/>
            </w:pPr>
          </w:p>
        </w:tc>
      </w:tr>
      <w:tr w14:paraId="692B98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6" w:hRule="atLeast"/>
        </w:trPr>
        <w:tc>
          <w:tcPr>
            <w:tcW w:w="1413" w:type="pct"/>
            <w:tcBorders>
              <w:top w:val="single" w:color="auto" w:sz="4" w:space="0"/>
              <w:left w:val="single" w:color="auto" w:sz="4" w:space="0"/>
              <w:bottom w:val="single" w:color="auto" w:sz="4" w:space="0"/>
              <w:right w:val="single" w:color="auto" w:sz="4" w:space="0"/>
            </w:tcBorders>
          </w:tcPr>
          <w:p w14:paraId="0A09F9BE">
            <w:pPr>
              <w:spacing w:line="320" w:lineRule="exact"/>
              <w:ind w:left="0" w:firstLine="240" w:firstLineChars="100"/>
            </w:pPr>
            <w:r>
              <w:t>1.1</w:t>
            </w:r>
            <w:r>
              <w:rPr>
                <w:rFonts w:hint="eastAsia"/>
              </w:rPr>
              <w:t>加载</w:t>
            </w:r>
            <w:r>
              <w:rPr>
                <w:i/>
              </w:rPr>
              <w:t>L</w:t>
            </w:r>
          </w:p>
        </w:tc>
        <w:tc>
          <w:tcPr>
            <w:tcW w:w="1311" w:type="pct"/>
            <w:tcBorders>
              <w:top w:val="single" w:color="auto" w:sz="4" w:space="0"/>
              <w:left w:val="single" w:color="auto" w:sz="4" w:space="0"/>
              <w:bottom w:val="single" w:color="auto" w:sz="4" w:space="0"/>
              <w:right w:val="single" w:color="auto" w:sz="4" w:space="0"/>
            </w:tcBorders>
            <w:vAlign w:val="center"/>
          </w:tcPr>
          <w:p w14:paraId="3BBEA971">
            <w:pPr>
              <w:spacing w:line="320" w:lineRule="exact"/>
              <w:jc w:val="center"/>
            </w:pPr>
          </w:p>
        </w:tc>
        <w:tc>
          <w:tcPr>
            <w:tcW w:w="1137" w:type="pct"/>
            <w:tcBorders>
              <w:top w:val="single" w:color="auto" w:sz="4" w:space="0"/>
              <w:left w:val="single" w:color="auto" w:sz="4" w:space="0"/>
              <w:bottom w:val="single" w:color="auto" w:sz="4" w:space="0"/>
              <w:right w:val="single" w:color="auto" w:sz="4" w:space="0"/>
            </w:tcBorders>
            <w:vAlign w:val="center"/>
          </w:tcPr>
          <w:p w14:paraId="1C772F77">
            <w:pPr>
              <w:spacing w:line="320" w:lineRule="exact"/>
              <w:jc w:val="center"/>
            </w:pPr>
          </w:p>
        </w:tc>
        <w:tc>
          <w:tcPr>
            <w:tcW w:w="1139" w:type="pct"/>
            <w:tcBorders>
              <w:top w:val="single" w:color="auto" w:sz="4" w:space="0"/>
              <w:left w:val="single" w:color="auto" w:sz="4" w:space="0"/>
              <w:bottom w:val="single" w:color="auto" w:sz="4" w:space="0"/>
              <w:right w:val="single" w:color="auto" w:sz="4" w:space="0"/>
            </w:tcBorders>
            <w:vAlign w:val="center"/>
          </w:tcPr>
          <w:p w14:paraId="2364B2C9">
            <w:pPr>
              <w:spacing w:line="320" w:lineRule="exact"/>
              <w:jc w:val="center"/>
            </w:pPr>
          </w:p>
        </w:tc>
      </w:tr>
      <w:tr w14:paraId="152C5C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trPr>
        <w:tc>
          <w:tcPr>
            <w:tcW w:w="1413" w:type="pct"/>
            <w:tcBorders>
              <w:top w:val="single" w:color="auto" w:sz="4" w:space="0"/>
              <w:left w:val="single" w:color="auto" w:sz="4" w:space="0"/>
              <w:bottom w:val="single" w:color="auto" w:sz="4" w:space="0"/>
              <w:right w:val="single" w:color="auto" w:sz="4" w:space="0"/>
            </w:tcBorders>
          </w:tcPr>
          <w:p w14:paraId="4889D550">
            <w:pPr>
              <w:spacing w:line="320" w:lineRule="exact"/>
              <w:ind w:left="0" w:firstLine="240" w:firstLineChars="100"/>
            </w:pPr>
            <w:r>
              <w:t>1.2</w:t>
            </w:r>
            <w:r>
              <w:rPr>
                <w:rFonts w:hint="eastAsia"/>
              </w:rPr>
              <w:t>卸载</w:t>
            </w:r>
            <w:bookmarkStart w:id="201" w:name="OLE_LINK58"/>
            <w:r>
              <w:rPr>
                <w:i/>
              </w:rPr>
              <w:t>L</w:t>
            </w:r>
            <w:bookmarkEnd w:id="201"/>
          </w:p>
        </w:tc>
        <w:tc>
          <w:tcPr>
            <w:tcW w:w="1311" w:type="pct"/>
            <w:tcBorders>
              <w:top w:val="single" w:color="auto" w:sz="4" w:space="0"/>
              <w:left w:val="single" w:color="auto" w:sz="4" w:space="0"/>
              <w:bottom w:val="single" w:color="auto" w:sz="4" w:space="0"/>
              <w:right w:val="single" w:color="auto" w:sz="4" w:space="0"/>
            </w:tcBorders>
            <w:vAlign w:val="center"/>
          </w:tcPr>
          <w:p w14:paraId="6AC92C96">
            <w:pPr>
              <w:spacing w:line="320" w:lineRule="exact"/>
              <w:jc w:val="center"/>
            </w:pPr>
          </w:p>
        </w:tc>
        <w:tc>
          <w:tcPr>
            <w:tcW w:w="1137" w:type="pct"/>
            <w:tcBorders>
              <w:top w:val="single" w:color="auto" w:sz="4" w:space="0"/>
              <w:left w:val="single" w:color="auto" w:sz="4" w:space="0"/>
              <w:bottom w:val="single" w:color="auto" w:sz="4" w:space="0"/>
              <w:right w:val="single" w:color="auto" w:sz="4" w:space="0"/>
            </w:tcBorders>
            <w:vAlign w:val="center"/>
          </w:tcPr>
          <w:p w14:paraId="42C05E1E">
            <w:pPr>
              <w:spacing w:line="320" w:lineRule="exact"/>
              <w:jc w:val="center"/>
            </w:pPr>
          </w:p>
        </w:tc>
        <w:tc>
          <w:tcPr>
            <w:tcW w:w="1139" w:type="pct"/>
            <w:tcBorders>
              <w:top w:val="single" w:color="auto" w:sz="4" w:space="0"/>
              <w:left w:val="single" w:color="auto" w:sz="4" w:space="0"/>
              <w:bottom w:val="single" w:color="auto" w:sz="4" w:space="0"/>
              <w:right w:val="single" w:color="auto" w:sz="4" w:space="0"/>
            </w:tcBorders>
            <w:vAlign w:val="center"/>
          </w:tcPr>
          <w:p w14:paraId="68E786D4">
            <w:pPr>
              <w:spacing w:line="320" w:lineRule="exact"/>
              <w:jc w:val="center"/>
            </w:pPr>
          </w:p>
        </w:tc>
      </w:tr>
      <w:bookmarkEnd w:id="200"/>
      <w:tr w14:paraId="625CE9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trPr>
        <w:tc>
          <w:tcPr>
            <w:tcW w:w="1413" w:type="pct"/>
            <w:tcBorders>
              <w:top w:val="single" w:color="auto" w:sz="4" w:space="0"/>
              <w:left w:val="single" w:color="auto" w:sz="4" w:space="0"/>
              <w:bottom w:val="single" w:color="auto" w:sz="4" w:space="0"/>
              <w:right w:val="single" w:color="auto" w:sz="4" w:space="0"/>
            </w:tcBorders>
          </w:tcPr>
          <w:p w14:paraId="61E04475">
            <w:pPr>
              <w:pStyle w:val="61"/>
              <w:numPr>
                <w:ilvl w:val="0"/>
                <w:numId w:val="5"/>
              </w:numPr>
              <w:spacing w:line="320" w:lineRule="exact"/>
              <w:ind w:firstLineChars="0"/>
            </w:pPr>
            <w:r>
              <w:rPr>
                <w:rFonts w:hint="eastAsia"/>
              </w:rPr>
              <w:t>30%</w:t>
            </w:r>
            <w:r>
              <w:rPr>
                <w:rFonts w:hint="eastAsia"/>
                <w:iCs/>
              </w:rPr>
              <w:t>Max</w:t>
            </w:r>
          </w:p>
        </w:tc>
        <w:tc>
          <w:tcPr>
            <w:tcW w:w="1308" w:type="pct"/>
            <w:tcBorders>
              <w:top w:val="single" w:color="auto" w:sz="4" w:space="0"/>
              <w:left w:val="single" w:color="auto" w:sz="4" w:space="0"/>
              <w:bottom w:val="single" w:color="auto" w:sz="4" w:space="0"/>
              <w:right w:val="single" w:color="auto" w:sz="4" w:space="0"/>
            </w:tcBorders>
            <w:vAlign w:val="center"/>
          </w:tcPr>
          <w:p w14:paraId="73AF3330">
            <w:pPr>
              <w:spacing w:line="320" w:lineRule="exact"/>
              <w:jc w:val="center"/>
            </w:pPr>
          </w:p>
        </w:tc>
        <w:tc>
          <w:tcPr>
            <w:tcW w:w="1137" w:type="pct"/>
            <w:tcBorders>
              <w:top w:val="single" w:color="auto" w:sz="4" w:space="0"/>
              <w:left w:val="single" w:color="auto" w:sz="4" w:space="0"/>
              <w:bottom w:val="single" w:color="auto" w:sz="4" w:space="0"/>
              <w:right w:val="single" w:color="auto" w:sz="4" w:space="0"/>
            </w:tcBorders>
            <w:vAlign w:val="center"/>
          </w:tcPr>
          <w:p w14:paraId="234BADDA">
            <w:pPr>
              <w:spacing w:line="320" w:lineRule="exact"/>
              <w:jc w:val="center"/>
            </w:pPr>
          </w:p>
        </w:tc>
        <w:tc>
          <w:tcPr>
            <w:tcW w:w="1141" w:type="pct"/>
            <w:tcBorders>
              <w:top w:val="single" w:color="auto" w:sz="4" w:space="0"/>
              <w:left w:val="single" w:color="auto" w:sz="4" w:space="0"/>
              <w:bottom w:val="single" w:color="auto" w:sz="4" w:space="0"/>
              <w:right w:val="single" w:color="auto" w:sz="4" w:space="0"/>
            </w:tcBorders>
            <w:vAlign w:val="center"/>
          </w:tcPr>
          <w:p w14:paraId="29594FF3">
            <w:pPr>
              <w:spacing w:line="320" w:lineRule="exact"/>
              <w:jc w:val="center"/>
            </w:pPr>
          </w:p>
        </w:tc>
      </w:tr>
      <w:tr w14:paraId="756749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trPr>
        <w:tc>
          <w:tcPr>
            <w:tcW w:w="1413" w:type="pct"/>
            <w:tcBorders>
              <w:top w:val="single" w:color="auto" w:sz="4" w:space="0"/>
              <w:left w:val="single" w:color="auto" w:sz="4" w:space="0"/>
              <w:bottom w:val="single" w:color="auto" w:sz="4" w:space="0"/>
              <w:right w:val="single" w:color="auto" w:sz="4" w:space="0"/>
            </w:tcBorders>
          </w:tcPr>
          <w:p w14:paraId="216D437F">
            <w:pPr>
              <w:spacing w:line="320" w:lineRule="exact"/>
              <w:ind w:left="0" w:firstLine="240" w:firstLineChars="100"/>
            </w:pPr>
            <w:r>
              <w:rPr>
                <w:rFonts w:hint="eastAsia"/>
              </w:rPr>
              <w:t>2</w:t>
            </w:r>
            <w:r>
              <w:t>.1</w:t>
            </w:r>
            <w:r>
              <w:rPr>
                <w:rFonts w:hint="eastAsia"/>
              </w:rPr>
              <w:t>加载</w:t>
            </w:r>
            <w:r>
              <w:rPr>
                <w:i/>
              </w:rPr>
              <w:t>L</w:t>
            </w:r>
          </w:p>
        </w:tc>
        <w:tc>
          <w:tcPr>
            <w:tcW w:w="1311" w:type="pct"/>
            <w:tcBorders>
              <w:top w:val="single" w:color="auto" w:sz="4" w:space="0"/>
              <w:left w:val="single" w:color="auto" w:sz="4" w:space="0"/>
              <w:bottom w:val="single" w:color="auto" w:sz="4" w:space="0"/>
              <w:right w:val="single" w:color="auto" w:sz="4" w:space="0"/>
            </w:tcBorders>
            <w:vAlign w:val="center"/>
          </w:tcPr>
          <w:p w14:paraId="77C333A7">
            <w:pPr>
              <w:spacing w:line="320" w:lineRule="exact"/>
              <w:jc w:val="center"/>
            </w:pPr>
          </w:p>
        </w:tc>
        <w:tc>
          <w:tcPr>
            <w:tcW w:w="1137" w:type="pct"/>
            <w:tcBorders>
              <w:top w:val="single" w:color="auto" w:sz="4" w:space="0"/>
              <w:left w:val="single" w:color="auto" w:sz="4" w:space="0"/>
              <w:bottom w:val="single" w:color="auto" w:sz="4" w:space="0"/>
              <w:right w:val="single" w:color="auto" w:sz="4" w:space="0"/>
            </w:tcBorders>
            <w:vAlign w:val="center"/>
          </w:tcPr>
          <w:p w14:paraId="16A189AD">
            <w:pPr>
              <w:spacing w:line="320" w:lineRule="exact"/>
              <w:jc w:val="center"/>
            </w:pPr>
          </w:p>
        </w:tc>
        <w:tc>
          <w:tcPr>
            <w:tcW w:w="1139" w:type="pct"/>
            <w:tcBorders>
              <w:top w:val="single" w:color="auto" w:sz="4" w:space="0"/>
              <w:left w:val="single" w:color="auto" w:sz="4" w:space="0"/>
              <w:bottom w:val="single" w:color="auto" w:sz="4" w:space="0"/>
              <w:right w:val="single" w:color="auto" w:sz="4" w:space="0"/>
            </w:tcBorders>
            <w:vAlign w:val="center"/>
          </w:tcPr>
          <w:p w14:paraId="4E2B7D00">
            <w:pPr>
              <w:spacing w:line="320" w:lineRule="exact"/>
              <w:jc w:val="center"/>
            </w:pPr>
          </w:p>
        </w:tc>
      </w:tr>
      <w:tr w14:paraId="496BDE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trPr>
        <w:tc>
          <w:tcPr>
            <w:tcW w:w="1413" w:type="pct"/>
            <w:tcBorders>
              <w:top w:val="single" w:color="auto" w:sz="4" w:space="0"/>
              <w:left w:val="single" w:color="auto" w:sz="4" w:space="0"/>
              <w:bottom w:val="single" w:color="auto" w:sz="4" w:space="0"/>
              <w:right w:val="single" w:color="auto" w:sz="4" w:space="0"/>
            </w:tcBorders>
          </w:tcPr>
          <w:p w14:paraId="168D177F">
            <w:pPr>
              <w:spacing w:line="320" w:lineRule="exact"/>
              <w:ind w:left="0" w:firstLine="240" w:firstLineChars="100"/>
            </w:pPr>
            <w:r>
              <w:rPr>
                <w:rFonts w:hint="eastAsia"/>
              </w:rPr>
              <w:t>2</w:t>
            </w:r>
            <w:r>
              <w:t>.2</w:t>
            </w:r>
            <w:r>
              <w:rPr>
                <w:rFonts w:hint="eastAsia"/>
              </w:rPr>
              <w:t>卸载</w:t>
            </w:r>
            <w:r>
              <w:rPr>
                <w:i/>
              </w:rPr>
              <w:t>L</w:t>
            </w:r>
          </w:p>
        </w:tc>
        <w:tc>
          <w:tcPr>
            <w:tcW w:w="1311" w:type="pct"/>
            <w:tcBorders>
              <w:top w:val="single" w:color="auto" w:sz="4" w:space="0"/>
              <w:left w:val="single" w:color="auto" w:sz="4" w:space="0"/>
              <w:bottom w:val="single" w:color="auto" w:sz="4" w:space="0"/>
              <w:right w:val="single" w:color="auto" w:sz="4" w:space="0"/>
            </w:tcBorders>
            <w:vAlign w:val="center"/>
          </w:tcPr>
          <w:p w14:paraId="3DCB0E5F">
            <w:pPr>
              <w:spacing w:line="320" w:lineRule="exact"/>
              <w:jc w:val="center"/>
            </w:pPr>
          </w:p>
        </w:tc>
        <w:tc>
          <w:tcPr>
            <w:tcW w:w="1137" w:type="pct"/>
            <w:tcBorders>
              <w:top w:val="single" w:color="auto" w:sz="4" w:space="0"/>
              <w:left w:val="single" w:color="auto" w:sz="4" w:space="0"/>
              <w:bottom w:val="single" w:color="auto" w:sz="4" w:space="0"/>
              <w:right w:val="single" w:color="auto" w:sz="4" w:space="0"/>
            </w:tcBorders>
            <w:vAlign w:val="center"/>
          </w:tcPr>
          <w:p w14:paraId="31F324EF">
            <w:pPr>
              <w:spacing w:line="320" w:lineRule="exact"/>
              <w:jc w:val="center"/>
            </w:pPr>
          </w:p>
        </w:tc>
        <w:tc>
          <w:tcPr>
            <w:tcW w:w="1139" w:type="pct"/>
            <w:tcBorders>
              <w:top w:val="single" w:color="auto" w:sz="4" w:space="0"/>
              <w:left w:val="single" w:color="auto" w:sz="4" w:space="0"/>
              <w:bottom w:val="single" w:color="auto" w:sz="4" w:space="0"/>
              <w:right w:val="single" w:color="auto" w:sz="4" w:space="0"/>
            </w:tcBorders>
            <w:vAlign w:val="center"/>
          </w:tcPr>
          <w:p w14:paraId="57DCB72B">
            <w:pPr>
              <w:spacing w:line="320" w:lineRule="exact"/>
              <w:jc w:val="center"/>
            </w:pPr>
          </w:p>
        </w:tc>
      </w:tr>
      <w:tr w14:paraId="0D82B7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trPr>
        <w:tc>
          <w:tcPr>
            <w:tcW w:w="1413" w:type="pct"/>
            <w:tcBorders>
              <w:top w:val="single" w:color="auto" w:sz="4" w:space="0"/>
              <w:left w:val="single" w:color="auto" w:sz="4" w:space="0"/>
              <w:bottom w:val="single" w:color="auto" w:sz="4" w:space="0"/>
              <w:right w:val="single" w:color="auto" w:sz="4" w:space="0"/>
            </w:tcBorders>
          </w:tcPr>
          <w:p w14:paraId="4A3E6549">
            <w:pPr>
              <w:pStyle w:val="61"/>
              <w:numPr>
                <w:ilvl w:val="0"/>
                <w:numId w:val="5"/>
              </w:numPr>
              <w:spacing w:line="320" w:lineRule="exact"/>
              <w:ind w:firstLineChars="0"/>
            </w:pPr>
            <w:r>
              <w:rPr>
                <w:rFonts w:hint="eastAsia"/>
              </w:rPr>
              <w:t>30%</w:t>
            </w:r>
            <w:r>
              <w:rPr>
                <w:rFonts w:hint="eastAsia"/>
                <w:iCs/>
              </w:rPr>
              <w:t>Max</w:t>
            </w:r>
          </w:p>
        </w:tc>
        <w:tc>
          <w:tcPr>
            <w:tcW w:w="1308" w:type="pct"/>
            <w:tcBorders>
              <w:top w:val="single" w:color="auto" w:sz="4" w:space="0"/>
              <w:left w:val="single" w:color="auto" w:sz="4" w:space="0"/>
              <w:bottom w:val="single" w:color="auto" w:sz="4" w:space="0"/>
              <w:right w:val="single" w:color="auto" w:sz="4" w:space="0"/>
            </w:tcBorders>
            <w:vAlign w:val="center"/>
          </w:tcPr>
          <w:p w14:paraId="56C070A5">
            <w:pPr>
              <w:spacing w:line="320" w:lineRule="exact"/>
              <w:jc w:val="center"/>
            </w:pPr>
          </w:p>
        </w:tc>
        <w:tc>
          <w:tcPr>
            <w:tcW w:w="1137" w:type="pct"/>
            <w:tcBorders>
              <w:top w:val="single" w:color="auto" w:sz="4" w:space="0"/>
              <w:left w:val="single" w:color="auto" w:sz="4" w:space="0"/>
              <w:bottom w:val="single" w:color="auto" w:sz="4" w:space="0"/>
              <w:right w:val="single" w:color="auto" w:sz="4" w:space="0"/>
            </w:tcBorders>
            <w:vAlign w:val="center"/>
          </w:tcPr>
          <w:p w14:paraId="2FAE3C97">
            <w:pPr>
              <w:spacing w:line="320" w:lineRule="exact"/>
              <w:jc w:val="center"/>
            </w:pPr>
          </w:p>
        </w:tc>
        <w:tc>
          <w:tcPr>
            <w:tcW w:w="1141" w:type="pct"/>
            <w:tcBorders>
              <w:top w:val="single" w:color="auto" w:sz="4" w:space="0"/>
              <w:left w:val="single" w:color="auto" w:sz="4" w:space="0"/>
              <w:bottom w:val="single" w:color="auto" w:sz="4" w:space="0"/>
              <w:right w:val="single" w:color="auto" w:sz="4" w:space="0"/>
            </w:tcBorders>
            <w:vAlign w:val="center"/>
          </w:tcPr>
          <w:p w14:paraId="4A572DBE">
            <w:pPr>
              <w:spacing w:line="320" w:lineRule="exact"/>
              <w:jc w:val="center"/>
            </w:pPr>
          </w:p>
        </w:tc>
      </w:tr>
      <w:tr w14:paraId="50459C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trPr>
        <w:tc>
          <w:tcPr>
            <w:tcW w:w="1413" w:type="pct"/>
            <w:tcBorders>
              <w:top w:val="single" w:color="auto" w:sz="4" w:space="0"/>
              <w:left w:val="single" w:color="auto" w:sz="4" w:space="0"/>
              <w:bottom w:val="single" w:color="auto" w:sz="4" w:space="0"/>
              <w:right w:val="single" w:color="auto" w:sz="4" w:space="0"/>
            </w:tcBorders>
          </w:tcPr>
          <w:p w14:paraId="6AC2BB0A">
            <w:pPr>
              <w:spacing w:line="320" w:lineRule="exact"/>
              <w:ind w:left="0" w:firstLine="240" w:firstLineChars="100"/>
            </w:pPr>
            <w:r>
              <w:rPr>
                <w:rFonts w:hint="eastAsia"/>
              </w:rPr>
              <w:t>3</w:t>
            </w:r>
            <w:r>
              <w:t>.1</w:t>
            </w:r>
            <w:r>
              <w:rPr>
                <w:rFonts w:hint="eastAsia"/>
              </w:rPr>
              <w:t>加载</w:t>
            </w:r>
            <w:r>
              <w:rPr>
                <w:i/>
              </w:rPr>
              <w:t>L</w:t>
            </w:r>
          </w:p>
        </w:tc>
        <w:tc>
          <w:tcPr>
            <w:tcW w:w="1311" w:type="pct"/>
            <w:tcBorders>
              <w:top w:val="single" w:color="auto" w:sz="4" w:space="0"/>
              <w:left w:val="single" w:color="auto" w:sz="4" w:space="0"/>
              <w:bottom w:val="single" w:color="auto" w:sz="4" w:space="0"/>
              <w:right w:val="single" w:color="auto" w:sz="4" w:space="0"/>
            </w:tcBorders>
            <w:vAlign w:val="center"/>
          </w:tcPr>
          <w:p w14:paraId="4B8E598E">
            <w:pPr>
              <w:spacing w:line="320" w:lineRule="exact"/>
              <w:jc w:val="center"/>
            </w:pPr>
          </w:p>
        </w:tc>
        <w:tc>
          <w:tcPr>
            <w:tcW w:w="1137" w:type="pct"/>
            <w:tcBorders>
              <w:top w:val="single" w:color="auto" w:sz="4" w:space="0"/>
              <w:left w:val="single" w:color="auto" w:sz="4" w:space="0"/>
              <w:bottom w:val="single" w:color="auto" w:sz="4" w:space="0"/>
              <w:right w:val="single" w:color="auto" w:sz="4" w:space="0"/>
            </w:tcBorders>
            <w:vAlign w:val="center"/>
          </w:tcPr>
          <w:p w14:paraId="2F0E7E25">
            <w:pPr>
              <w:spacing w:line="320" w:lineRule="exact"/>
              <w:jc w:val="center"/>
            </w:pPr>
          </w:p>
        </w:tc>
        <w:tc>
          <w:tcPr>
            <w:tcW w:w="1139" w:type="pct"/>
            <w:tcBorders>
              <w:top w:val="single" w:color="auto" w:sz="4" w:space="0"/>
              <w:left w:val="single" w:color="auto" w:sz="4" w:space="0"/>
              <w:bottom w:val="single" w:color="auto" w:sz="4" w:space="0"/>
              <w:right w:val="single" w:color="auto" w:sz="4" w:space="0"/>
            </w:tcBorders>
            <w:vAlign w:val="center"/>
          </w:tcPr>
          <w:p w14:paraId="5A0A17F3">
            <w:pPr>
              <w:spacing w:line="320" w:lineRule="exact"/>
              <w:jc w:val="center"/>
            </w:pPr>
          </w:p>
        </w:tc>
      </w:tr>
      <w:tr w14:paraId="0B7A1A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trPr>
        <w:tc>
          <w:tcPr>
            <w:tcW w:w="1413" w:type="pct"/>
            <w:tcBorders>
              <w:top w:val="single" w:color="auto" w:sz="4" w:space="0"/>
              <w:left w:val="single" w:color="auto" w:sz="4" w:space="0"/>
              <w:bottom w:val="single" w:color="auto" w:sz="4" w:space="0"/>
              <w:right w:val="single" w:color="auto" w:sz="4" w:space="0"/>
            </w:tcBorders>
          </w:tcPr>
          <w:p w14:paraId="1985F89E">
            <w:pPr>
              <w:spacing w:line="320" w:lineRule="exact"/>
              <w:ind w:left="0" w:firstLine="240" w:firstLineChars="100"/>
            </w:pPr>
            <w:r>
              <w:rPr>
                <w:rFonts w:hint="eastAsia"/>
              </w:rPr>
              <w:t>3</w:t>
            </w:r>
            <w:r>
              <w:t>.2</w:t>
            </w:r>
            <w:r>
              <w:rPr>
                <w:rFonts w:hint="eastAsia"/>
              </w:rPr>
              <w:t>卸载</w:t>
            </w:r>
            <w:r>
              <w:rPr>
                <w:i/>
              </w:rPr>
              <w:t>L</w:t>
            </w:r>
          </w:p>
        </w:tc>
        <w:tc>
          <w:tcPr>
            <w:tcW w:w="1311" w:type="pct"/>
            <w:tcBorders>
              <w:top w:val="single" w:color="auto" w:sz="4" w:space="0"/>
              <w:left w:val="single" w:color="auto" w:sz="4" w:space="0"/>
              <w:bottom w:val="single" w:color="auto" w:sz="4" w:space="0"/>
              <w:right w:val="single" w:color="auto" w:sz="4" w:space="0"/>
            </w:tcBorders>
            <w:vAlign w:val="center"/>
          </w:tcPr>
          <w:p w14:paraId="439F7FB1">
            <w:pPr>
              <w:spacing w:line="320" w:lineRule="exact"/>
              <w:jc w:val="center"/>
            </w:pPr>
          </w:p>
        </w:tc>
        <w:tc>
          <w:tcPr>
            <w:tcW w:w="1137" w:type="pct"/>
            <w:tcBorders>
              <w:top w:val="single" w:color="auto" w:sz="4" w:space="0"/>
              <w:left w:val="single" w:color="auto" w:sz="4" w:space="0"/>
              <w:bottom w:val="single" w:color="auto" w:sz="4" w:space="0"/>
              <w:right w:val="single" w:color="auto" w:sz="4" w:space="0"/>
            </w:tcBorders>
            <w:vAlign w:val="center"/>
          </w:tcPr>
          <w:p w14:paraId="58F28F47">
            <w:pPr>
              <w:spacing w:line="320" w:lineRule="exact"/>
              <w:jc w:val="center"/>
            </w:pPr>
          </w:p>
        </w:tc>
        <w:tc>
          <w:tcPr>
            <w:tcW w:w="1139" w:type="pct"/>
            <w:tcBorders>
              <w:top w:val="single" w:color="auto" w:sz="4" w:space="0"/>
              <w:left w:val="single" w:color="auto" w:sz="4" w:space="0"/>
              <w:bottom w:val="single" w:color="auto" w:sz="4" w:space="0"/>
              <w:right w:val="single" w:color="auto" w:sz="4" w:space="0"/>
            </w:tcBorders>
            <w:vAlign w:val="center"/>
          </w:tcPr>
          <w:p w14:paraId="6C6F78CC">
            <w:pPr>
              <w:spacing w:line="320" w:lineRule="exact"/>
              <w:jc w:val="center"/>
            </w:pPr>
          </w:p>
        </w:tc>
      </w:tr>
      <w:tr w14:paraId="58D950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trPr>
        <w:tc>
          <w:tcPr>
            <w:tcW w:w="1413" w:type="pct"/>
            <w:tcBorders>
              <w:top w:val="single" w:color="auto" w:sz="4" w:space="0"/>
              <w:left w:val="single" w:color="auto" w:sz="4" w:space="0"/>
              <w:bottom w:val="single" w:color="auto" w:sz="4" w:space="0"/>
              <w:right w:val="single" w:color="auto" w:sz="4" w:space="0"/>
            </w:tcBorders>
          </w:tcPr>
          <w:p w14:paraId="6654AC39">
            <w:pPr>
              <w:pStyle w:val="61"/>
              <w:numPr>
                <w:ilvl w:val="0"/>
                <w:numId w:val="5"/>
              </w:numPr>
              <w:spacing w:line="320" w:lineRule="exact"/>
              <w:ind w:firstLineChars="0"/>
            </w:pPr>
            <w:r>
              <w:rPr>
                <w:rFonts w:hint="eastAsia"/>
              </w:rPr>
              <w:t>30%</w:t>
            </w:r>
            <w:r>
              <w:rPr>
                <w:rFonts w:hint="eastAsia"/>
                <w:iCs/>
              </w:rPr>
              <w:t>Max</w:t>
            </w:r>
          </w:p>
        </w:tc>
        <w:tc>
          <w:tcPr>
            <w:tcW w:w="1308" w:type="pct"/>
            <w:tcBorders>
              <w:top w:val="single" w:color="auto" w:sz="4" w:space="0"/>
              <w:left w:val="single" w:color="auto" w:sz="4" w:space="0"/>
              <w:bottom w:val="single" w:color="auto" w:sz="4" w:space="0"/>
              <w:right w:val="single" w:color="auto" w:sz="4" w:space="0"/>
            </w:tcBorders>
            <w:vAlign w:val="center"/>
          </w:tcPr>
          <w:p w14:paraId="596004BC">
            <w:pPr>
              <w:spacing w:line="320" w:lineRule="exact"/>
              <w:jc w:val="center"/>
            </w:pPr>
          </w:p>
        </w:tc>
        <w:tc>
          <w:tcPr>
            <w:tcW w:w="1137" w:type="pct"/>
            <w:tcBorders>
              <w:top w:val="single" w:color="auto" w:sz="4" w:space="0"/>
              <w:left w:val="single" w:color="auto" w:sz="4" w:space="0"/>
              <w:bottom w:val="single" w:color="auto" w:sz="4" w:space="0"/>
              <w:right w:val="single" w:color="auto" w:sz="4" w:space="0"/>
            </w:tcBorders>
            <w:vAlign w:val="center"/>
          </w:tcPr>
          <w:p w14:paraId="53A28E11">
            <w:pPr>
              <w:spacing w:line="320" w:lineRule="exact"/>
              <w:jc w:val="center"/>
            </w:pPr>
          </w:p>
        </w:tc>
        <w:tc>
          <w:tcPr>
            <w:tcW w:w="1141" w:type="pct"/>
            <w:tcBorders>
              <w:top w:val="single" w:color="auto" w:sz="4" w:space="0"/>
              <w:left w:val="single" w:color="auto" w:sz="4" w:space="0"/>
              <w:bottom w:val="single" w:color="auto" w:sz="4" w:space="0"/>
              <w:right w:val="single" w:color="auto" w:sz="4" w:space="0"/>
            </w:tcBorders>
            <w:vAlign w:val="center"/>
          </w:tcPr>
          <w:p w14:paraId="1E30FFFD">
            <w:pPr>
              <w:spacing w:line="320" w:lineRule="exact"/>
              <w:jc w:val="center"/>
            </w:pPr>
          </w:p>
        </w:tc>
      </w:tr>
      <w:tr w14:paraId="04BEAC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trPr>
        <w:tc>
          <w:tcPr>
            <w:tcW w:w="1413" w:type="pct"/>
            <w:tcBorders>
              <w:top w:val="single" w:color="auto" w:sz="4" w:space="0"/>
              <w:left w:val="single" w:color="auto" w:sz="4" w:space="0"/>
              <w:bottom w:val="single" w:color="auto" w:sz="4" w:space="0"/>
              <w:right w:val="single" w:color="auto" w:sz="4" w:space="0"/>
            </w:tcBorders>
          </w:tcPr>
          <w:p w14:paraId="23E94C39">
            <w:pPr>
              <w:spacing w:line="320" w:lineRule="exact"/>
              <w:ind w:left="0" w:firstLine="240" w:firstLineChars="100"/>
            </w:pPr>
            <w:r>
              <w:rPr>
                <w:rFonts w:hint="eastAsia"/>
              </w:rPr>
              <w:t>4</w:t>
            </w:r>
            <w:r>
              <w:t>.1</w:t>
            </w:r>
            <w:r>
              <w:rPr>
                <w:rFonts w:hint="eastAsia"/>
              </w:rPr>
              <w:t>加载</w:t>
            </w:r>
            <w:r>
              <w:rPr>
                <w:i/>
              </w:rPr>
              <w:t>L</w:t>
            </w:r>
          </w:p>
        </w:tc>
        <w:tc>
          <w:tcPr>
            <w:tcW w:w="1311" w:type="pct"/>
            <w:tcBorders>
              <w:top w:val="single" w:color="auto" w:sz="4" w:space="0"/>
              <w:left w:val="single" w:color="auto" w:sz="4" w:space="0"/>
              <w:bottom w:val="single" w:color="auto" w:sz="4" w:space="0"/>
              <w:right w:val="single" w:color="auto" w:sz="4" w:space="0"/>
            </w:tcBorders>
            <w:vAlign w:val="center"/>
          </w:tcPr>
          <w:p w14:paraId="481DE26D">
            <w:pPr>
              <w:spacing w:line="320" w:lineRule="exact"/>
              <w:jc w:val="center"/>
            </w:pPr>
          </w:p>
        </w:tc>
        <w:tc>
          <w:tcPr>
            <w:tcW w:w="1137" w:type="pct"/>
            <w:tcBorders>
              <w:top w:val="single" w:color="auto" w:sz="4" w:space="0"/>
              <w:left w:val="single" w:color="auto" w:sz="4" w:space="0"/>
              <w:bottom w:val="single" w:color="auto" w:sz="4" w:space="0"/>
              <w:right w:val="single" w:color="auto" w:sz="4" w:space="0"/>
            </w:tcBorders>
            <w:vAlign w:val="center"/>
          </w:tcPr>
          <w:p w14:paraId="3D844085">
            <w:pPr>
              <w:spacing w:line="320" w:lineRule="exact"/>
              <w:jc w:val="center"/>
            </w:pPr>
          </w:p>
        </w:tc>
        <w:tc>
          <w:tcPr>
            <w:tcW w:w="1139" w:type="pct"/>
            <w:tcBorders>
              <w:top w:val="single" w:color="auto" w:sz="4" w:space="0"/>
              <w:left w:val="single" w:color="auto" w:sz="4" w:space="0"/>
              <w:bottom w:val="single" w:color="auto" w:sz="4" w:space="0"/>
              <w:right w:val="single" w:color="auto" w:sz="4" w:space="0"/>
            </w:tcBorders>
            <w:vAlign w:val="center"/>
          </w:tcPr>
          <w:p w14:paraId="15AC0EC1">
            <w:pPr>
              <w:spacing w:line="320" w:lineRule="exact"/>
              <w:jc w:val="center"/>
            </w:pPr>
          </w:p>
        </w:tc>
      </w:tr>
      <w:tr w14:paraId="7C2A61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trPr>
        <w:tc>
          <w:tcPr>
            <w:tcW w:w="1413" w:type="pct"/>
            <w:tcBorders>
              <w:top w:val="single" w:color="auto" w:sz="4" w:space="0"/>
              <w:left w:val="single" w:color="auto" w:sz="4" w:space="0"/>
              <w:bottom w:val="single" w:color="auto" w:sz="4" w:space="0"/>
              <w:right w:val="single" w:color="auto" w:sz="4" w:space="0"/>
            </w:tcBorders>
          </w:tcPr>
          <w:p w14:paraId="21F8E2A9">
            <w:pPr>
              <w:spacing w:line="320" w:lineRule="exact"/>
              <w:ind w:left="0" w:firstLine="240" w:firstLineChars="100"/>
            </w:pPr>
            <w:r>
              <w:rPr>
                <w:rFonts w:hint="eastAsia"/>
              </w:rPr>
              <w:t>4</w:t>
            </w:r>
            <w:r>
              <w:t>.2</w:t>
            </w:r>
            <w:r>
              <w:rPr>
                <w:rFonts w:hint="eastAsia"/>
              </w:rPr>
              <w:t>卸载</w:t>
            </w:r>
            <w:r>
              <w:rPr>
                <w:i/>
              </w:rPr>
              <w:t>L</w:t>
            </w:r>
          </w:p>
        </w:tc>
        <w:tc>
          <w:tcPr>
            <w:tcW w:w="1311" w:type="pct"/>
            <w:tcBorders>
              <w:top w:val="single" w:color="auto" w:sz="4" w:space="0"/>
              <w:left w:val="single" w:color="auto" w:sz="4" w:space="0"/>
              <w:bottom w:val="single" w:color="auto" w:sz="4" w:space="0"/>
              <w:right w:val="single" w:color="auto" w:sz="4" w:space="0"/>
            </w:tcBorders>
            <w:vAlign w:val="center"/>
          </w:tcPr>
          <w:p w14:paraId="641C3639">
            <w:pPr>
              <w:spacing w:line="320" w:lineRule="exact"/>
              <w:jc w:val="center"/>
            </w:pPr>
          </w:p>
        </w:tc>
        <w:tc>
          <w:tcPr>
            <w:tcW w:w="1137" w:type="pct"/>
            <w:tcBorders>
              <w:top w:val="single" w:color="auto" w:sz="4" w:space="0"/>
              <w:left w:val="single" w:color="auto" w:sz="4" w:space="0"/>
              <w:bottom w:val="single" w:color="auto" w:sz="4" w:space="0"/>
              <w:right w:val="single" w:color="auto" w:sz="4" w:space="0"/>
            </w:tcBorders>
            <w:vAlign w:val="center"/>
          </w:tcPr>
          <w:p w14:paraId="295917D4">
            <w:pPr>
              <w:spacing w:line="320" w:lineRule="exact"/>
              <w:jc w:val="center"/>
            </w:pPr>
          </w:p>
        </w:tc>
        <w:tc>
          <w:tcPr>
            <w:tcW w:w="1139" w:type="pct"/>
            <w:tcBorders>
              <w:top w:val="single" w:color="auto" w:sz="4" w:space="0"/>
              <w:left w:val="single" w:color="auto" w:sz="4" w:space="0"/>
              <w:bottom w:val="single" w:color="auto" w:sz="4" w:space="0"/>
              <w:right w:val="single" w:color="auto" w:sz="4" w:space="0"/>
            </w:tcBorders>
            <w:vAlign w:val="center"/>
          </w:tcPr>
          <w:p w14:paraId="59F3E1CD">
            <w:pPr>
              <w:spacing w:line="320" w:lineRule="exact"/>
              <w:jc w:val="center"/>
            </w:pPr>
          </w:p>
        </w:tc>
      </w:tr>
      <w:bookmarkEnd w:id="199"/>
      <w:tr w14:paraId="2F2239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trPr>
        <w:tc>
          <w:tcPr>
            <w:tcW w:w="1413" w:type="pct"/>
            <w:tcBorders>
              <w:top w:val="single" w:color="auto" w:sz="4" w:space="0"/>
              <w:left w:val="single" w:color="auto" w:sz="4" w:space="0"/>
              <w:bottom w:val="single" w:color="auto" w:sz="4" w:space="0"/>
              <w:right w:val="single" w:color="auto" w:sz="4" w:space="0"/>
            </w:tcBorders>
          </w:tcPr>
          <w:p w14:paraId="00F4A1ED">
            <w:pPr>
              <w:pStyle w:val="61"/>
              <w:numPr>
                <w:ilvl w:val="0"/>
                <w:numId w:val="5"/>
              </w:numPr>
              <w:spacing w:line="320" w:lineRule="exact"/>
              <w:ind w:firstLineChars="0"/>
            </w:pPr>
            <w:r>
              <w:rPr>
                <w:rFonts w:hint="eastAsia"/>
              </w:rPr>
              <w:t>30%</w:t>
            </w:r>
            <w:r>
              <w:rPr>
                <w:rFonts w:hint="eastAsia"/>
                <w:iCs/>
              </w:rPr>
              <w:t>Max</w:t>
            </w:r>
          </w:p>
        </w:tc>
        <w:tc>
          <w:tcPr>
            <w:tcW w:w="1308" w:type="pct"/>
            <w:tcBorders>
              <w:top w:val="single" w:color="auto" w:sz="4" w:space="0"/>
              <w:left w:val="single" w:color="auto" w:sz="4" w:space="0"/>
              <w:bottom w:val="single" w:color="auto" w:sz="4" w:space="0"/>
              <w:right w:val="single" w:color="auto" w:sz="4" w:space="0"/>
            </w:tcBorders>
            <w:vAlign w:val="center"/>
          </w:tcPr>
          <w:p w14:paraId="43F4A3CA">
            <w:pPr>
              <w:spacing w:line="320" w:lineRule="exact"/>
              <w:jc w:val="center"/>
            </w:pPr>
          </w:p>
        </w:tc>
        <w:tc>
          <w:tcPr>
            <w:tcW w:w="1137" w:type="pct"/>
            <w:tcBorders>
              <w:top w:val="single" w:color="auto" w:sz="4" w:space="0"/>
              <w:left w:val="single" w:color="auto" w:sz="4" w:space="0"/>
              <w:bottom w:val="single" w:color="auto" w:sz="4" w:space="0"/>
              <w:right w:val="single" w:color="auto" w:sz="4" w:space="0"/>
            </w:tcBorders>
            <w:vAlign w:val="center"/>
          </w:tcPr>
          <w:p w14:paraId="1B3C5A0C">
            <w:pPr>
              <w:spacing w:line="320" w:lineRule="exact"/>
              <w:jc w:val="center"/>
            </w:pPr>
          </w:p>
        </w:tc>
        <w:tc>
          <w:tcPr>
            <w:tcW w:w="1141" w:type="pct"/>
            <w:tcBorders>
              <w:top w:val="single" w:color="auto" w:sz="4" w:space="0"/>
              <w:left w:val="single" w:color="auto" w:sz="4" w:space="0"/>
              <w:bottom w:val="single" w:color="auto" w:sz="4" w:space="0"/>
              <w:right w:val="single" w:color="auto" w:sz="4" w:space="0"/>
            </w:tcBorders>
            <w:vAlign w:val="center"/>
          </w:tcPr>
          <w:p w14:paraId="75573F3F">
            <w:pPr>
              <w:spacing w:line="320" w:lineRule="exact"/>
              <w:jc w:val="center"/>
            </w:pPr>
          </w:p>
        </w:tc>
      </w:tr>
      <w:tr w14:paraId="7C25F9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trPr>
        <w:tc>
          <w:tcPr>
            <w:tcW w:w="1413" w:type="pct"/>
            <w:tcBorders>
              <w:top w:val="single" w:color="auto" w:sz="4" w:space="0"/>
              <w:left w:val="single" w:color="auto" w:sz="4" w:space="0"/>
              <w:bottom w:val="single" w:color="auto" w:sz="4" w:space="0"/>
              <w:right w:val="single" w:color="auto" w:sz="4" w:space="0"/>
            </w:tcBorders>
          </w:tcPr>
          <w:p w14:paraId="4EFBB666">
            <w:pPr>
              <w:spacing w:line="320" w:lineRule="exact"/>
              <w:ind w:left="0" w:firstLine="240" w:firstLineChars="100"/>
            </w:pPr>
            <w:r>
              <w:rPr>
                <w:rFonts w:hint="eastAsia"/>
              </w:rPr>
              <w:t>5</w:t>
            </w:r>
            <w:r>
              <w:t>.1</w:t>
            </w:r>
            <w:r>
              <w:rPr>
                <w:rFonts w:hint="eastAsia"/>
              </w:rPr>
              <w:t>加载</w:t>
            </w:r>
            <w:r>
              <w:t>L</w:t>
            </w:r>
          </w:p>
        </w:tc>
        <w:tc>
          <w:tcPr>
            <w:tcW w:w="1311" w:type="pct"/>
            <w:tcBorders>
              <w:top w:val="single" w:color="auto" w:sz="4" w:space="0"/>
              <w:left w:val="single" w:color="auto" w:sz="4" w:space="0"/>
              <w:bottom w:val="single" w:color="auto" w:sz="4" w:space="0"/>
              <w:right w:val="single" w:color="auto" w:sz="4" w:space="0"/>
            </w:tcBorders>
            <w:vAlign w:val="center"/>
          </w:tcPr>
          <w:p w14:paraId="299158F3">
            <w:pPr>
              <w:spacing w:line="320" w:lineRule="exact"/>
              <w:jc w:val="center"/>
            </w:pPr>
          </w:p>
        </w:tc>
        <w:tc>
          <w:tcPr>
            <w:tcW w:w="1137" w:type="pct"/>
            <w:tcBorders>
              <w:top w:val="single" w:color="auto" w:sz="4" w:space="0"/>
              <w:left w:val="single" w:color="auto" w:sz="4" w:space="0"/>
              <w:bottom w:val="single" w:color="auto" w:sz="4" w:space="0"/>
              <w:right w:val="single" w:color="auto" w:sz="4" w:space="0"/>
            </w:tcBorders>
            <w:vAlign w:val="center"/>
          </w:tcPr>
          <w:p w14:paraId="480E1959">
            <w:pPr>
              <w:spacing w:line="320" w:lineRule="exact"/>
              <w:jc w:val="center"/>
            </w:pPr>
          </w:p>
        </w:tc>
        <w:tc>
          <w:tcPr>
            <w:tcW w:w="1139" w:type="pct"/>
            <w:tcBorders>
              <w:top w:val="single" w:color="auto" w:sz="4" w:space="0"/>
              <w:left w:val="single" w:color="auto" w:sz="4" w:space="0"/>
              <w:bottom w:val="single" w:color="auto" w:sz="4" w:space="0"/>
              <w:right w:val="single" w:color="auto" w:sz="4" w:space="0"/>
            </w:tcBorders>
            <w:vAlign w:val="center"/>
          </w:tcPr>
          <w:p w14:paraId="5FEF5893">
            <w:pPr>
              <w:spacing w:line="320" w:lineRule="exact"/>
              <w:jc w:val="center"/>
            </w:pPr>
          </w:p>
        </w:tc>
      </w:tr>
      <w:tr w14:paraId="783EF1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trPr>
        <w:tc>
          <w:tcPr>
            <w:tcW w:w="1413" w:type="pct"/>
            <w:tcBorders>
              <w:top w:val="single" w:color="auto" w:sz="4" w:space="0"/>
              <w:left w:val="single" w:color="auto" w:sz="4" w:space="0"/>
              <w:bottom w:val="single" w:color="auto" w:sz="4" w:space="0"/>
              <w:right w:val="single" w:color="auto" w:sz="4" w:space="0"/>
            </w:tcBorders>
          </w:tcPr>
          <w:p w14:paraId="57D47A1A">
            <w:pPr>
              <w:spacing w:line="320" w:lineRule="exact"/>
              <w:ind w:left="0" w:firstLine="240" w:firstLineChars="100"/>
            </w:pPr>
            <w:r>
              <w:rPr>
                <w:rFonts w:hint="eastAsia"/>
              </w:rPr>
              <w:t>5</w:t>
            </w:r>
            <w:r>
              <w:t>.2</w:t>
            </w:r>
            <w:r>
              <w:rPr>
                <w:rFonts w:hint="eastAsia"/>
              </w:rPr>
              <w:t>卸载</w:t>
            </w:r>
            <w:r>
              <w:t>L</w:t>
            </w:r>
          </w:p>
        </w:tc>
        <w:tc>
          <w:tcPr>
            <w:tcW w:w="1311" w:type="pct"/>
            <w:tcBorders>
              <w:top w:val="single" w:color="auto" w:sz="4" w:space="0"/>
              <w:left w:val="single" w:color="auto" w:sz="4" w:space="0"/>
              <w:bottom w:val="single" w:color="auto" w:sz="4" w:space="0"/>
              <w:right w:val="single" w:color="auto" w:sz="4" w:space="0"/>
            </w:tcBorders>
            <w:vAlign w:val="center"/>
          </w:tcPr>
          <w:p w14:paraId="0D5D19FB">
            <w:pPr>
              <w:spacing w:line="320" w:lineRule="exact"/>
              <w:jc w:val="center"/>
            </w:pPr>
          </w:p>
        </w:tc>
        <w:tc>
          <w:tcPr>
            <w:tcW w:w="1137" w:type="pct"/>
            <w:tcBorders>
              <w:top w:val="single" w:color="auto" w:sz="4" w:space="0"/>
              <w:left w:val="single" w:color="auto" w:sz="4" w:space="0"/>
              <w:bottom w:val="single" w:color="auto" w:sz="4" w:space="0"/>
              <w:right w:val="single" w:color="auto" w:sz="4" w:space="0"/>
            </w:tcBorders>
            <w:vAlign w:val="center"/>
          </w:tcPr>
          <w:p w14:paraId="47BA6030">
            <w:pPr>
              <w:spacing w:line="320" w:lineRule="exact"/>
              <w:jc w:val="center"/>
            </w:pPr>
          </w:p>
        </w:tc>
        <w:tc>
          <w:tcPr>
            <w:tcW w:w="1139" w:type="pct"/>
            <w:tcBorders>
              <w:top w:val="single" w:color="auto" w:sz="4" w:space="0"/>
              <w:left w:val="single" w:color="auto" w:sz="4" w:space="0"/>
              <w:bottom w:val="single" w:color="auto" w:sz="4" w:space="0"/>
              <w:right w:val="single" w:color="auto" w:sz="4" w:space="0"/>
            </w:tcBorders>
            <w:vAlign w:val="center"/>
          </w:tcPr>
          <w:p w14:paraId="5408FF82">
            <w:pPr>
              <w:spacing w:line="320" w:lineRule="exact"/>
              <w:jc w:val="center"/>
            </w:pPr>
          </w:p>
        </w:tc>
      </w:tr>
    </w:tbl>
    <w:p w14:paraId="21C5611A">
      <w:pPr>
        <w:rPr>
          <w:szCs w:val="21"/>
        </w:rPr>
      </w:pPr>
    </w:p>
    <w:p w14:paraId="2C2AE2CF">
      <w:pPr>
        <w:rPr>
          <w:szCs w:val="21"/>
        </w:rPr>
      </w:pPr>
    </w:p>
    <w:p w14:paraId="044BFA2B">
      <w:pPr>
        <w:rPr>
          <w:szCs w:val="21"/>
        </w:rPr>
      </w:pPr>
    </w:p>
    <w:p w14:paraId="71C8E45D">
      <w:pPr>
        <w:ind w:left="0"/>
        <w:rPr>
          <w:szCs w:val="21"/>
        </w:rPr>
      </w:pPr>
    </w:p>
    <w:p w14:paraId="42EDAC16">
      <w:pPr>
        <w:ind w:left="0"/>
        <w:rPr>
          <w:rFonts w:cs="宋体"/>
          <w:szCs w:val="21"/>
        </w:rPr>
      </w:pPr>
      <w:r>
        <w:rPr>
          <w:rFonts w:hint="eastAsia"/>
          <w:szCs w:val="21"/>
        </w:rPr>
        <w:t>校准员：</w:t>
      </w:r>
      <w:r>
        <w:rPr>
          <w:rFonts w:hint="eastAsia" w:cs="宋体"/>
          <w:szCs w:val="21"/>
          <w:u w:val="single"/>
        </w:rPr>
        <w:t xml:space="preserve">               </w:t>
      </w:r>
      <w:r>
        <w:rPr>
          <w:rFonts w:hint="eastAsia" w:cs="宋体"/>
          <w:szCs w:val="21"/>
        </w:rPr>
        <w:t xml:space="preserve">  核验员：</w:t>
      </w:r>
      <w:r>
        <w:rPr>
          <w:rFonts w:hint="eastAsia" w:cs="宋体"/>
          <w:szCs w:val="21"/>
          <w:u w:val="single"/>
        </w:rPr>
        <w:t xml:space="preserve">               </w:t>
      </w:r>
      <w:r>
        <w:rPr>
          <w:rFonts w:hint="eastAsia" w:cs="宋体"/>
          <w:szCs w:val="21"/>
        </w:rPr>
        <w:t xml:space="preserve"> 校准日期：     年    月    日</w:t>
      </w:r>
    </w:p>
    <w:p w14:paraId="32EF9BD7"/>
    <w:p w14:paraId="2D3A4466">
      <w:pPr>
        <w:ind w:left="-617" w:leftChars="-257" w:right="-792" w:rightChars="-330" w:firstLine="600" w:firstLineChars="250"/>
        <w:rPr>
          <w:rFonts w:cs="宋体"/>
          <w:szCs w:val="21"/>
        </w:rPr>
      </w:pPr>
      <w:r>
        <w:rPr>
          <w:rFonts w:hint="eastAsia"/>
          <w:szCs w:val="21"/>
        </w:rPr>
        <w:t>校准地点：□本实验室</w:t>
      </w:r>
      <w:r>
        <w:rPr>
          <w:rFonts w:hint="eastAsia"/>
          <w:szCs w:val="21"/>
          <w:u w:val="single"/>
        </w:rPr>
        <w:t xml:space="preserve">                             </w:t>
      </w:r>
      <w:r>
        <w:rPr>
          <w:rFonts w:hint="eastAsia"/>
          <w:szCs w:val="21"/>
        </w:rPr>
        <w:t>□现场</w:t>
      </w:r>
      <w:r>
        <w:rPr>
          <w:rFonts w:hint="eastAsia"/>
          <w:szCs w:val="21"/>
          <w:u w:val="single"/>
        </w:rPr>
        <w:t xml:space="preserve">                        </w:t>
      </w:r>
    </w:p>
    <w:p w14:paraId="2F5EC6DC">
      <w:pPr>
        <w:rPr>
          <w:szCs w:val="21"/>
        </w:rPr>
        <w:sectPr>
          <w:headerReference r:id="rId12" w:type="default"/>
          <w:footerReference r:id="rId13" w:type="default"/>
          <w:pgSz w:w="11906" w:h="16838"/>
          <w:pgMar w:top="1440" w:right="1134" w:bottom="1440" w:left="1134" w:header="851" w:footer="992" w:gutter="0"/>
          <w:cols w:space="720" w:num="1"/>
          <w:docGrid w:type="lines" w:linePitch="312" w:charSpace="0"/>
        </w:sectPr>
      </w:pPr>
      <w:r>
        <w:br w:type="page"/>
      </w:r>
    </w:p>
    <w:p w14:paraId="61FFBC8A">
      <w:pPr>
        <w:rPr>
          <w:szCs w:val="21"/>
        </w:rPr>
      </w:pPr>
    </w:p>
    <w:p w14:paraId="2AF0D313">
      <w:pPr>
        <w:ind w:left="0"/>
        <w:jc w:val="center"/>
        <w:rPr>
          <w:bCs/>
        </w:rPr>
      </w:pPr>
    </w:p>
    <w:p w14:paraId="73DE4AAE">
      <w:pPr>
        <w:ind w:left="0"/>
        <w:jc w:val="center"/>
        <w:rPr>
          <w:bCs/>
        </w:rPr>
      </w:pPr>
      <w:r>
        <w:rPr>
          <w:rFonts w:hint="eastAsia"/>
          <w:bCs/>
        </w:rPr>
        <w:t>不确定度计算汇总表</w:t>
      </w:r>
    </w:p>
    <w:tbl>
      <w:tblPr>
        <w:tblStyle w:val="21"/>
        <w:tblW w:w="4846" w:type="pct"/>
        <w:tblInd w:w="0" w:type="dxa"/>
        <w:tblLayout w:type="autofit"/>
        <w:tblCellMar>
          <w:top w:w="0" w:type="dxa"/>
          <w:left w:w="108" w:type="dxa"/>
          <w:bottom w:w="0" w:type="dxa"/>
          <w:right w:w="108" w:type="dxa"/>
        </w:tblCellMar>
      </w:tblPr>
      <w:tblGrid>
        <w:gridCol w:w="2787"/>
        <w:gridCol w:w="939"/>
        <w:gridCol w:w="433"/>
        <w:gridCol w:w="1166"/>
        <w:gridCol w:w="1166"/>
        <w:gridCol w:w="1166"/>
        <w:gridCol w:w="1166"/>
        <w:gridCol w:w="1166"/>
        <w:gridCol w:w="1167"/>
        <w:gridCol w:w="1167"/>
        <w:gridCol w:w="1205"/>
      </w:tblGrid>
      <w:tr w14:paraId="1853536E">
        <w:tblPrEx>
          <w:tblCellMar>
            <w:top w:w="0" w:type="dxa"/>
            <w:left w:w="108" w:type="dxa"/>
            <w:bottom w:w="0" w:type="dxa"/>
            <w:right w:w="108" w:type="dxa"/>
          </w:tblCellMar>
        </w:tblPrEx>
        <w:trPr>
          <w:trHeight w:val="442" w:hRule="atLeast"/>
        </w:trPr>
        <w:tc>
          <w:tcPr>
            <w:tcW w:w="1537" w:type="pct"/>
            <w:gridSpan w:val="3"/>
            <w:tcBorders>
              <w:top w:val="single" w:color="auto" w:sz="4" w:space="0"/>
              <w:left w:val="single" w:color="auto" w:sz="4" w:space="0"/>
              <w:bottom w:val="single" w:color="auto" w:sz="4" w:space="0"/>
              <w:right w:val="single" w:color="auto" w:sz="4" w:space="0"/>
            </w:tcBorders>
            <w:noWrap/>
            <w:vAlign w:val="center"/>
          </w:tcPr>
          <w:p w14:paraId="31E3D9B1">
            <w:pPr>
              <w:ind w:left="0"/>
              <w:jc w:val="center"/>
              <w:rPr>
                <w:rFonts w:hint="eastAsia" w:ascii="宋体" w:hAnsi="宋体" w:cs="宋体"/>
                <w:color w:val="000000"/>
                <w:kern w:val="0"/>
                <w:sz w:val="22"/>
                <w:szCs w:val="22"/>
              </w:rPr>
            </w:pPr>
            <w:r>
              <w:rPr>
                <w:rFonts w:hint="eastAsia" w:ascii="宋体" w:hAnsi="宋体" w:cs="宋体"/>
                <w:color w:val="000000"/>
                <w:kern w:val="0"/>
                <w:sz w:val="22"/>
                <w:szCs w:val="22"/>
              </w:rPr>
              <w:t>不确定度影响分量</w:t>
            </w:r>
          </w:p>
        </w:tc>
        <w:tc>
          <w:tcPr>
            <w:tcW w:w="3462" w:type="pct"/>
            <w:gridSpan w:val="8"/>
            <w:tcBorders>
              <w:top w:val="single" w:color="auto" w:sz="4" w:space="0"/>
              <w:left w:val="nil"/>
              <w:bottom w:val="single" w:color="auto" w:sz="4" w:space="0"/>
              <w:right w:val="single" w:color="auto" w:sz="4" w:space="0"/>
            </w:tcBorders>
            <w:vAlign w:val="center"/>
          </w:tcPr>
          <w:p w14:paraId="0D23251C">
            <w:pPr>
              <w:ind w:left="0"/>
              <w:jc w:val="center"/>
              <w:rPr>
                <w:color w:val="000000"/>
                <w:kern w:val="0"/>
                <w:sz w:val="22"/>
                <w:szCs w:val="22"/>
              </w:rPr>
            </w:pPr>
            <w:r>
              <w:rPr>
                <w:rFonts w:hint="eastAsia" w:ascii="宋体" w:hAnsi="宋体"/>
                <w:color w:val="000000"/>
                <w:kern w:val="0"/>
                <w:sz w:val="22"/>
                <w:szCs w:val="22"/>
              </w:rPr>
              <w:t>载荷、显示值、误差、不确定度</w:t>
            </w:r>
            <w:r>
              <w:t>(   )</w:t>
            </w:r>
          </w:p>
        </w:tc>
      </w:tr>
      <w:tr w14:paraId="11D8579F">
        <w:tblPrEx>
          <w:tblCellMar>
            <w:top w:w="0" w:type="dxa"/>
            <w:left w:w="108" w:type="dxa"/>
            <w:bottom w:w="0" w:type="dxa"/>
            <w:right w:w="108" w:type="dxa"/>
          </w:tblCellMar>
        </w:tblPrEx>
        <w:trPr>
          <w:trHeight w:val="454" w:hRule="atLeast"/>
        </w:trPr>
        <w:tc>
          <w:tcPr>
            <w:tcW w:w="1030" w:type="pct"/>
            <w:tcBorders>
              <w:top w:val="nil"/>
              <w:left w:val="single" w:color="auto" w:sz="4" w:space="0"/>
              <w:bottom w:val="single" w:color="auto" w:sz="4" w:space="0"/>
              <w:right w:val="single" w:color="auto" w:sz="4" w:space="0"/>
            </w:tcBorders>
            <w:noWrap/>
            <w:vAlign w:val="center"/>
          </w:tcPr>
          <w:p w14:paraId="4FB45589">
            <w:pPr>
              <w:ind w:left="0"/>
              <w:jc w:val="center"/>
              <w:rPr>
                <w:rFonts w:hint="eastAsia" w:ascii="宋体" w:hAnsi="宋体" w:cs="宋体"/>
                <w:color w:val="000000"/>
                <w:kern w:val="0"/>
                <w:sz w:val="22"/>
                <w:szCs w:val="22"/>
              </w:rPr>
            </w:pPr>
            <w:r>
              <w:rPr>
                <w:rFonts w:hint="eastAsia" w:ascii="宋体" w:hAnsi="宋体" w:cs="宋体"/>
                <w:color w:val="000000"/>
                <w:kern w:val="0"/>
                <w:sz w:val="22"/>
                <w:szCs w:val="22"/>
              </w:rPr>
              <w:t>试验载荷</w:t>
            </w:r>
          </w:p>
        </w:tc>
        <w:tc>
          <w:tcPr>
            <w:tcW w:w="347" w:type="pct"/>
            <w:tcBorders>
              <w:top w:val="nil"/>
              <w:left w:val="nil"/>
              <w:bottom w:val="single" w:color="auto" w:sz="4" w:space="0"/>
              <w:right w:val="single" w:color="auto" w:sz="4" w:space="0"/>
            </w:tcBorders>
            <w:noWrap/>
            <w:vAlign w:val="center"/>
          </w:tcPr>
          <w:p w14:paraId="544259E9">
            <w:pPr>
              <w:ind w:left="0"/>
              <w:jc w:val="center"/>
              <w:rPr>
                <w:color w:val="000000"/>
                <w:kern w:val="0"/>
                <w:sz w:val="22"/>
                <w:szCs w:val="22"/>
              </w:rPr>
            </w:pPr>
            <w:r>
              <w:rPr>
                <w:i/>
                <w:iCs/>
                <w:color w:val="000000"/>
                <w:kern w:val="0"/>
                <w:sz w:val="22"/>
                <w:szCs w:val="22"/>
              </w:rPr>
              <w:t>L</w:t>
            </w:r>
            <w:r>
              <w:rPr>
                <w:color w:val="000000"/>
                <w:kern w:val="0"/>
                <w:sz w:val="22"/>
                <w:szCs w:val="22"/>
                <w:vertAlign w:val="subscript"/>
              </w:rPr>
              <w:t>T</w:t>
            </w:r>
          </w:p>
        </w:tc>
        <w:tc>
          <w:tcPr>
            <w:tcW w:w="158" w:type="pct"/>
            <w:tcBorders>
              <w:top w:val="nil"/>
              <w:left w:val="nil"/>
              <w:bottom w:val="single" w:color="auto" w:sz="4" w:space="0"/>
              <w:right w:val="single" w:color="auto" w:sz="4" w:space="0"/>
            </w:tcBorders>
            <w:noWrap/>
            <w:vAlign w:val="center"/>
          </w:tcPr>
          <w:p w14:paraId="10802420">
            <w:pPr>
              <w:ind w:left="0"/>
              <w:jc w:val="center"/>
              <w:rPr>
                <w:color w:val="000000"/>
                <w:kern w:val="0"/>
                <w:sz w:val="22"/>
                <w:szCs w:val="22"/>
              </w:rPr>
            </w:pPr>
          </w:p>
        </w:tc>
        <w:tc>
          <w:tcPr>
            <w:tcW w:w="431" w:type="pct"/>
            <w:tcBorders>
              <w:top w:val="nil"/>
              <w:left w:val="nil"/>
              <w:bottom w:val="single" w:color="auto" w:sz="4" w:space="0"/>
              <w:right w:val="single" w:color="auto" w:sz="4" w:space="0"/>
            </w:tcBorders>
            <w:noWrap/>
            <w:vAlign w:val="center"/>
          </w:tcPr>
          <w:p w14:paraId="1EF6A95B">
            <w:pPr>
              <w:ind w:left="0"/>
              <w:jc w:val="center"/>
              <w:rPr>
                <w:color w:val="000000"/>
                <w:kern w:val="0"/>
                <w:sz w:val="22"/>
                <w:szCs w:val="22"/>
              </w:rPr>
            </w:pPr>
          </w:p>
        </w:tc>
        <w:tc>
          <w:tcPr>
            <w:tcW w:w="431" w:type="pct"/>
            <w:tcBorders>
              <w:top w:val="nil"/>
              <w:left w:val="nil"/>
              <w:bottom w:val="single" w:color="auto" w:sz="4" w:space="0"/>
              <w:right w:val="single" w:color="auto" w:sz="4" w:space="0"/>
            </w:tcBorders>
            <w:noWrap/>
            <w:vAlign w:val="center"/>
          </w:tcPr>
          <w:p w14:paraId="77CBD7B4">
            <w:pPr>
              <w:ind w:left="0"/>
              <w:jc w:val="center"/>
              <w:rPr>
                <w:color w:val="000000"/>
                <w:kern w:val="0"/>
                <w:sz w:val="22"/>
                <w:szCs w:val="22"/>
              </w:rPr>
            </w:pPr>
          </w:p>
        </w:tc>
        <w:tc>
          <w:tcPr>
            <w:tcW w:w="431" w:type="pct"/>
            <w:tcBorders>
              <w:top w:val="nil"/>
              <w:left w:val="nil"/>
              <w:bottom w:val="single" w:color="auto" w:sz="4" w:space="0"/>
              <w:right w:val="single" w:color="auto" w:sz="4" w:space="0"/>
            </w:tcBorders>
            <w:noWrap/>
            <w:vAlign w:val="center"/>
          </w:tcPr>
          <w:p w14:paraId="621F17D0">
            <w:pPr>
              <w:ind w:left="0"/>
              <w:jc w:val="center"/>
              <w:rPr>
                <w:color w:val="000000"/>
                <w:kern w:val="0"/>
                <w:sz w:val="22"/>
                <w:szCs w:val="22"/>
              </w:rPr>
            </w:pPr>
          </w:p>
        </w:tc>
        <w:tc>
          <w:tcPr>
            <w:tcW w:w="431" w:type="pct"/>
            <w:tcBorders>
              <w:top w:val="single" w:color="auto" w:sz="4" w:space="0"/>
              <w:left w:val="nil"/>
              <w:bottom w:val="single" w:color="auto" w:sz="4" w:space="0"/>
              <w:right w:val="single" w:color="auto" w:sz="4" w:space="0"/>
            </w:tcBorders>
            <w:vAlign w:val="center"/>
          </w:tcPr>
          <w:p w14:paraId="5DE1777A">
            <w:pPr>
              <w:ind w:left="0"/>
              <w:jc w:val="center"/>
              <w:rPr>
                <w:color w:val="000000"/>
                <w:kern w:val="0"/>
                <w:sz w:val="22"/>
                <w:szCs w:val="22"/>
              </w:rPr>
            </w:pPr>
          </w:p>
        </w:tc>
        <w:tc>
          <w:tcPr>
            <w:tcW w:w="431" w:type="pct"/>
            <w:tcBorders>
              <w:top w:val="single" w:color="auto" w:sz="4" w:space="0"/>
              <w:left w:val="single" w:color="auto" w:sz="4" w:space="0"/>
              <w:bottom w:val="single" w:color="auto" w:sz="4" w:space="0"/>
              <w:right w:val="single" w:color="auto" w:sz="4" w:space="0"/>
            </w:tcBorders>
            <w:noWrap/>
            <w:vAlign w:val="center"/>
          </w:tcPr>
          <w:p w14:paraId="2DB17942">
            <w:pPr>
              <w:ind w:left="0"/>
              <w:jc w:val="center"/>
              <w:rPr>
                <w:color w:val="000000"/>
                <w:kern w:val="0"/>
                <w:sz w:val="22"/>
                <w:szCs w:val="22"/>
              </w:rPr>
            </w:pPr>
          </w:p>
        </w:tc>
        <w:tc>
          <w:tcPr>
            <w:tcW w:w="431" w:type="pct"/>
            <w:tcBorders>
              <w:top w:val="nil"/>
              <w:left w:val="nil"/>
              <w:bottom w:val="single" w:color="auto" w:sz="4" w:space="0"/>
              <w:right w:val="single" w:color="auto" w:sz="4" w:space="0"/>
            </w:tcBorders>
            <w:noWrap/>
            <w:vAlign w:val="center"/>
          </w:tcPr>
          <w:p w14:paraId="0C85AF13">
            <w:pPr>
              <w:ind w:left="0"/>
              <w:jc w:val="center"/>
              <w:rPr>
                <w:color w:val="000000"/>
                <w:kern w:val="0"/>
                <w:sz w:val="22"/>
                <w:szCs w:val="22"/>
              </w:rPr>
            </w:pPr>
          </w:p>
        </w:tc>
        <w:tc>
          <w:tcPr>
            <w:tcW w:w="431" w:type="pct"/>
            <w:tcBorders>
              <w:top w:val="nil"/>
              <w:left w:val="nil"/>
              <w:bottom w:val="single" w:color="auto" w:sz="4" w:space="0"/>
              <w:right w:val="single" w:color="auto" w:sz="4" w:space="0"/>
            </w:tcBorders>
            <w:noWrap/>
            <w:vAlign w:val="center"/>
          </w:tcPr>
          <w:p w14:paraId="7F9A140F">
            <w:pPr>
              <w:ind w:left="0"/>
              <w:jc w:val="center"/>
              <w:rPr>
                <w:color w:val="000000"/>
                <w:kern w:val="0"/>
                <w:sz w:val="22"/>
                <w:szCs w:val="22"/>
              </w:rPr>
            </w:pPr>
          </w:p>
        </w:tc>
        <w:tc>
          <w:tcPr>
            <w:tcW w:w="439" w:type="pct"/>
            <w:tcBorders>
              <w:top w:val="nil"/>
              <w:left w:val="nil"/>
              <w:bottom w:val="single" w:color="auto" w:sz="4" w:space="0"/>
              <w:right w:val="single" w:color="auto" w:sz="4" w:space="0"/>
            </w:tcBorders>
            <w:noWrap/>
            <w:vAlign w:val="center"/>
          </w:tcPr>
          <w:p w14:paraId="55009170">
            <w:pPr>
              <w:ind w:left="0"/>
              <w:jc w:val="center"/>
              <w:rPr>
                <w:color w:val="000000"/>
                <w:kern w:val="0"/>
                <w:sz w:val="22"/>
                <w:szCs w:val="22"/>
              </w:rPr>
            </w:pPr>
          </w:p>
        </w:tc>
      </w:tr>
      <w:tr w14:paraId="6E278248">
        <w:tblPrEx>
          <w:tblCellMar>
            <w:top w:w="0" w:type="dxa"/>
            <w:left w:w="108" w:type="dxa"/>
            <w:bottom w:w="0" w:type="dxa"/>
            <w:right w:w="108" w:type="dxa"/>
          </w:tblCellMar>
        </w:tblPrEx>
        <w:trPr>
          <w:trHeight w:val="454" w:hRule="atLeast"/>
        </w:trPr>
        <w:tc>
          <w:tcPr>
            <w:tcW w:w="1030" w:type="pct"/>
            <w:tcBorders>
              <w:top w:val="nil"/>
              <w:left w:val="single" w:color="auto" w:sz="4" w:space="0"/>
              <w:bottom w:val="single" w:color="auto" w:sz="4" w:space="0"/>
              <w:right w:val="single" w:color="auto" w:sz="4" w:space="0"/>
            </w:tcBorders>
            <w:noWrap/>
            <w:vAlign w:val="center"/>
          </w:tcPr>
          <w:p w14:paraId="33A631C0">
            <w:pPr>
              <w:ind w:left="0"/>
              <w:jc w:val="center"/>
              <w:rPr>
                <w:rFonts w:hint="eastAsia" w:ascii="宋体" w:hAnsi="宋体" w:cs="宋体"/>
                <w:color w:val="000000"/>
                <w:kern w:val="0"/>
                <w:sz w:val="22"/>
                <w:szCs w:val="22"/>
              </w:rPr>
            </w:pPr>
            <w:r>
              <w:rPr>
                <w:rFonts w:hint="eastAsia" w:ascii="宋体" w:hAnsi="宋体" w:cs="宋体"/>
                <w:color w:val="000000"/>
                <w:kern w:val="0"/>
                <w:sz w:val="22"/>
                <w:szCs w:val="22"/>
              </w:rPr>
              <w:t>示值</w:t>
            </w:r>
          </w:p>
        </w:tc>
        <w:tc>
          <w:tcPr>
            <w:tcW w:w="347" w:type="pct"/>
            <w:tcBorders>
              <w:top w:val="nil"/>
              <w:left w:val="nil"/>
              <w:bottom w:val="single" w:color="auto" w:sz="4" w:space="0"/>
              <w:right w:val="single" w:color="auto" w:sz="4" w:space="0"/>
            </w:tcBorders>
            <w:noWrap/>
            <w:vAlign w:val="center"/>
          </w:tcPr>
          <w:p w14:paraId="09CF5511">
            <w:pPr>
              <w:ind w:left="0"/>
              <w:jc w:val="center"/>
              <w:rPr>
                <w:i/>
                <w:iCs/>
                <w:color w:val="000000"/>
                <w:kern w:val="0"/>
                <w:sz w:val="22"/>
                <w:szCs w:val="22"/>
              </w:rPr>
            </w:pPr>
            <w:r>
              <w:rPr>
                <w:i/>
                <w:iCs/>
                <w:color w:val="000000"/>
                <w:kern w:val="0"/>
                <w:sz w:val="22"/>
                <w:szCs w:val="22"/>
              </w:rPr>
              <w:t>I</w:t>
            </w:r>
          </w:p>
        </w:tc>
        <w:tc>
          <w:tcPr>
            <w:tcW w:w="158" w:type="pct"/>
            <w:tcBorders>
              <w:top w:val="nil"/>
              <w:left w:val="nil"/>
              <w:bottom w:val="single" w:color="auto" w:sz="4" w:space="0"/>
              <w:right w:val="single" w:color="auto" w:sz="4" w:space="0"/>
            </w:tcBorders>
            <w:noWrap/>
            <w:vAlign w:val="center"/>
          </w:tcPr>
          <w:p w14:paraId="71FF1722">
            <w:pPr>
              <w:ind w:left="0"/>
              <w:jc w:val="center"/>
              <w:rPr>
                <w:color w:val="000000"/>
                <w:kern w:val="0"/>
                <w:sz w:val="22"/>
                <w:szCs w:val="22"/>
              </w:rPr>
            </w:pPr>
          </w:p>
        </w:tc>
        <w:tc>
          <w:tcPr>
            <w:tcW w:w="431" w:type="pct"/>
            <w:tcBorders>
              <w:top w:val="nil"/>
              <w:left w:val="nil"/>
              <w:bottom w:val="single" w:color="auto" w:sz="4" w:space="0"/>
              <w:right w:val="single" w:color="auto" w:sz="4" w:space="0"/>
            </w:tcBorders>
            <w:noWrap/>
            <w:vAlign w:val="center"/>
          </w:tcPr>
          <w:p w14:paraId="622768C3">
            <w:pPr>
              <w:ind w:left="0"/>
              <w:jc w:val="center"/>
              <w:rPr>
                <w:color w:val="000000"/>
                <w:kern w:val="0"/>
                <w:sz w:val="22"/>
                <w:szCs w:val="22"/>
              </w:rPr>
            </w:pPr>
          </w:p>
        </w:tc>
        <w:tc>
          <w:tcPr>
            <w:tcW w:w="431" w:type="pct"/>
            <w:tcBorders>
              <w:top w:val="nil"/>
              <w:left w:val="nil"/>
              <w:bottom w:val="single" w:color="auto" w:sz="4" w:space="0"/>
              <w:right w:val="single" w:color="auto" w:sz="4" w:space="0"/>
            </w:tcBorders>
            <w:noWrap/>
            <w:vAlign w:val="center"/>
          </w:tcPr>
          <w:p w14:paraId="1CEAF2F5">
            <w:pPr>
              <w:ind w:left="0"/>
              <w:jc w:val="center"/>
              <w:rPr>
                <w:color w:val="000000"/>
                <w:kern w:val="0"/>
                <w:sz w:val="22"/>
                <w:szCs w:val="22"/>
              </w:rPr>
            </w:pPr>
          </w:p>
        </w:tc>
        <w:tc>
          <w:tcPr>
            <w:tcW w:w="431" w:type="pct"/>
            <w:tcBorders>
              <w:top w:val="nil"/>
              <w:left w:val="nil"/>
              <w:bottom w:val="single" w:color="auto" w:sz="4" w:space="0"/>
              <w:right w:val="single" w:color="auto" w:sz="4" w:space="0"/>
            </w:tcBorders>
            <w:noWrap/>
            <w:vAlign w:val="center"/>
          </w:tcPr>
          <w:p w14:paraId="7C776CFA">
            <w:pPr>
              <w:ind w:left="0"/>
              <w:jc w:val="center"/>
              <w:rPr>
                <w:color w:val="000000"/>
                <w:kern w:val="0"/>
                <w:sz w:val="22"/>
                <w:szCs w:val="22"/>
              </w:rPr>
            </w:pPr>
          </w:p>
        </w:tc>
        <w:tc>
          <w:tcPr>
            <w:tcW w:w="431" w:type="pct"/>
            <w:tcBorders>
              <w:top w:val="single" w:color="auto" w:sz="4" w:space="0"/>
              <w:left w:val="nil"/>
              <w:bottom w:val="single" w:color="auto" w:sz="4" w:space="0"/>
              <w:right w:val="single" w:color="auto" w:sz="4" w:space="0"/>
            </w:tcBorders>
            <w:vAlign w:val="center"/>
          </w:tcPr>
          <w:p w14:paraId="0C9CBA12">
            <w:pPr>
              <w:ind w:left="0"/>
              <w:jc w:val="center"/>
              <w:rPr>
                <w:color w:val="000000"/>
                <w:kern w:val="0"/>
                <w:sz w:val="22"/>
                <w:szCs w:val="22"/>
              </w:rPr>
            </w:pPr>
          </w:p>
        </w:tc>
        <w:tc>
          <w:tcPr>
            <w:tcW w:w="431" w:type="pct"/>
            <w:tcBorders>
              <w:top w:val="single" w:color="auto" w:sz="4" w:space="0"/>
              <w:left w:val="single" w:color="auto" w:sz="4" w:space="0"/>
              <w:bottom w:val="single" w:color="auto" w:sz="4" w:space="0"/>
              <w:right w:val="single" w:color="auto" w:sz="4" w:space="0"/>
            </w:tcBorders>
            <w:noWrap/>
            <w:vAlign w:val="center"/>
          </w:tcPr>
          <w:p w14:paraId="739AF2C4">
            <w:pPr>
              <w:ind w:left="0"/>
              <w:jc w:val="center"/>
              <w:rPr>
                <w:color w:val="000000"/>
                <w:kern w:val="0"/>
                <w:sz w:val="22"/>
                <w:szCs w:val="22"/>
              </w:rPr>
            </w:pPr>
          </w:p>
        </w:tc>
        <w:tc>
          <w:tcPr>
            <w:tcW w:w="431" w:type="pct"/>
            <w:tcBorders>
              <w:top w:val="nil"/>
              <w:left w:val="nil"/>
              <w:bottom w:val="single" w:color="auto" w:sz="4" w:space="0"/>
              <w:right w:val="single" w:color="auto" w:sz="4" w:space="0"/>
            </w:tcBorders>
            <w:noWrap/>
            <w:vAlign w:val="center"/>
          </w:tcPr>
          <w:p w14:paraId="1A604C2E">
            <w:pPr>
              <w:ind w:left="0"/>
              <w:jc w:val="center"/>
              <w:rPr>
                <w:color w:val="000000"/>
                <w:kern w:val="0"/>
                <w:sz w:val="22"/>
                <w:szCs w:val="22"/>
              </w:rPr>
            </w:pPr>
          </w:p>
        </w:tc>
        <w:tc>
          <w:tcPr>
            <w:tcW w:w="431" w:type="pct"/>
            <w:tcBorders>
              <w:top w:val="nil"/>
              <w:left w:val="nil"/>
              <w:bottom w:val="single" w:color="auto" w:sz="4" w:space="0"/>
              <w:right w:val="single" w:color="auto" w:sz="4" w:space="0"/>
            </w:tcBorders>
            <w:noWrap/>
            <w:vAlign w:val="center"/>
          </w:tcPr>
          <w:p w14:paraId="7B5747AA">
            <w:pPr>
              <w:ind w:left="0"/>
              <w:jc w:val="center"/>
              <w:rPr>
                <w:color w:val="000000"/>
                <w:kern w:val="0"/>
                <w:sz w:val="22"/>
                <w:szCs w:val="22"/>
              </w:rPr>
            </w:pPr>
          </w:p>
        </w:tc>
        <w:tc>
          <w:tcPr>
            <w:tcW w:w="439" w:type="pct"/>
            <w:tcBorders>
              <w:top w:val="nil"/>
              <w:left w:val="nil"/>
              <w:bottom w:val="single" w:color="auto" w:sz="4" w:space="0"/>
              <w:right w:val="single" w:color="auto" w:sz="4" w:space="0"/>
            </w:tcBorders>
            <w:noWrap/>
            <w:vAlign w:val="center"/>
          </w:tcPr>
          <w:p w14:paraId="5E65457C">
            <w:pPr>
              <w:ind w:left="0"/>
              <w:jc w:val="center"/>
              <w:rPr>
                <w:color w:val="000000"/>
                <w:kern w:val="0"/>
                <w:sz w:val="22"/>
                <w:szCs w:val="22"/>
              </w:rPr>
            </w:pPr>
          </w:p>
        </w:tc>
      </w:tr>
      <w:tr w14:paraId="05CBA919">
        <w:tblPrEx>
          <w:tblCellMar>
            <w:top w:w="0" w:type="dxa"/>
            <w:left w:w="108" w:type="dxa"/>
            <w:bottom w:w="0" w:type="dxa"/>
            <w:right w:w="108" w:type="dxa"/>
          </w:tblCellMar>
        </w:tblPrEx>
        <w:trPr>
          <w:trHeight w:val="454" w:hRule="atLeast"/>
        </w:trPr>
        <w:tc>
          <w:tcPr>
            <w:tcW w:w="1030" w:type="pct"/>
            <w:tcBorders>
              <w:top w:val="nil"/>
              <w:left w:val="single" w:color="auto" w:sz="4" w:space="0"/>
              <w:bottom w:val="single" w:color="auto" w:sz="4" w:space="0"/>
              <w:right w:val="single" w:color="auto" w:sz="4" w:space="0"/>
            </w:tcBorders>
            <w:noWrap/>
            <w:vAlign w:val="center"/>
          </w:tcPr>
          <w:p w14:paraId="7CBDF4FF">
            <w:pPr>
              <w:ind w:left="0"/>
              <w:jc w:val="center"/>
              <w:rPr>
                <w:rFonts w:hint="eastAsia" w:ascii="宋体" w:hAnsi="宋体" w:cs="宋体"/>
                <w:color w:val="000000"/>
                <w:kern w:val="0"/>
                <w:sz w:val="22"/>
                <w:szCs w:val="22"/>
              </w:rPr>
            </w:pPr>
            <w:r>
              <w:rPr>
                <w:rFonts w:hint="eastAsia" w:ascii="宋体" w:hAnsi="宋体" w:cs="宋体"/>
                <w:color w:val="000000"/>
                <w:kern w:val="0"/>
                <w:sz w:val="22"/>
                <w:szCs w:val="22"/>
              </w:rPr>
              <w:t>示值误差</w:t>
            </w:r>
          </w:p>
        </w:tc>
        <w:tc>
          <w:tcPr>
            <w:tcW w:w="347" w:type="pct"/>
            <w:tcBorders>
              <w:top w:val="nil"/>
              <w:left w:val="nil"/>
              <w:bottom w:val="single" w:color="auto" w:sz="4" w:space="0"/>
              <w:right w:val="single" w:color="auto" w:sz="4" w:space="0"/>
            </w:tcBorders>
            <w:noWrap/>
            <w:vAlign w:val="center"/>
          </w:tcPr>
          <w:p w14:paraId="1E6CC9C2">
            <w:pPr>
              <w:ind w:left="0"/>
              <w:jc w:val="center"/>
              <w:rPr>
                <w:i/>
                <w:iCs/>
                <w:color w:val="000000"/>
                <w:kern w:val="0"/>
                <w:sz w:val="22"/>
                <w:szCs w:val="22"/>
              </w:rPr>
            </w:pPr>
            <w:r>
              <w:rPr>
                <w:i/>
                <w:iCs/>
                <w:color w:val="000000"/>
                <w:kern w:val="0"/>
                <w:sz w:val="22"/>
                <w:szCs w:val="22"/>
              </w:rPr>
              <w:t>E</w:t>
            </w:r>
          </w:p>
        </w:tc>
        <w:tc>
          <w:tcPr>
            <w:tcW w:w="158" w:type="pct"/>
            <w:tcBorders>
              <w:top w:val="nil"/>
              <w:left w:val="nil"/>
              <w:bottom w:val="single" w:color="auto" w:sz="4" w:space="0"/>
              <w:right w:val="single" w:color="auto" w:sz="4" w:space="0"/>
            </w:tcBorders>
            <w:noWrap/>
            <w:vAlign w:val="center"/>
          </w:tcPr>
          <w:p w14:paraId="4E84D957">
            <w:pPr>
              <w:ind w:left="0"/>
              <w:jc w:val="center"/>
              <w:rPr>
                <w:color w:val="000000"/>
                <w:kern w:val="0"/>
                <w:sz w:val="22"/>
                <w:szCs w:val="22"/>
              </w:rPr>
            </w:pPr>
          </w:p>
        </w:tc>
        <w:tc>
          <w:tcPr>
            <w:tcW w:w="431" w:type="pct"/>
            <w:tcBorders>
              <w:top w:val="nil"/>
              <w:left w:val="nil"/>
              <w:bottom w:val="single" w:color="auto" w:sz="4" w:space="0"/>
              <w:right w:val="single" w:color="auto" w:sz="4" w:space="0"/>
            </w:tcBorders>
            <w:noWrap/>
            <w:vAlign w:val="center"/>
          </w:tcPr>
          <w:p w14:paraId="5992AB7B">
            <w:pPr>
              <w:ind w:left="0"/>
              <w:jc w:val="center"/>
              <w:rPr>
                <w:color w:val="000000"/>
                <w:kern w:val="0"/>
                <w:sz w:val="22"/>
                <w:szCs w:val="22"/>
              </w:rPr>
            </w:pPr>
          </w:p>
        </w:tc>
        <w:tc>
          <w:tcPr>
            <w:tcW w:w="431" w:type="pct"/>
            <w:tcBorders>
              <w:top w:val="nil"/>
              <w:left w:val="nil"/>
              <w:bottom w:val="single" w:color="auto" w:sz="4" w:space="0"/>
              <w:right w:val="single" w:color="auto" w:sz="4" w:space="0"/>
            </w:tcBorders>
            <w:noWrap/>
            <w:vAlign w:val="center"/>
          </w:tcPr>
          <w:p w14:paraId="6AC97575">
            <w:pPr>
              <w:ind w:left="0"/>
              <w:jc w:val="center"/>
              <w:rPr>
                <w:color w:val="000000"/>
                <w:kern w:val="0"/>
                <w:sz w:val="22"/>
                <w:szCs w:val="22"/>
              </w:rPr>
            </w:pPr>
          </w:p>
        </w:tc>
        <w:tc>
          <w:tcPr>
            <w:tcW w:w="431" w:type="pct"/>
            <w:tcBorders>
              <w:top w:val="nil"/>
              <w:left w:val="nil"/>
              <w:bottom w:val="single" w:color="auto" w:sz="4" w:space="0"/>
              <w:right w:val="single" w:color="auto" w:sz="4" w:space="0"/>
            </w:tcBorders>
            <w:noWrap/>
            <w:vAlign w:val="center"/>
          </w:tcPr>
          <w:p w14:paraId="4DABF94C">
            <w:pPr>
              <w:ind w:left="0"/>
              <w:jc w:val="center"/>
              <w:rPr>
                <w:color w:val="000000"/>
                <w:kern w:val="0"/>
                <w:sz w:val="22"/>
                <w:szCs w:val="22"/>
              </w:rPr>
            </w:pPr>
          </w:p>
        </w:tc>
        <w:tc>
          <w:tcPr>
            <w:tcW w:w="431" w:type="pct"/>
            <w:tcBorders>
              <w:top w:val="single" w:color="auto" w:sz="4" w:space="0"/>
              <w:left w:val="nil"/>
              <w:bottom w:val="single" w:color="auto" w:sz="4" w:space="0"/>
              <w:right w:val="single" w:color="auto" w:sz="4" w:space="0"/>
            </w:tcBorders>
            <w:vAlign w:val="center"/>
          </w:tcPr>
          <w:p w14:paraId="5987B2BF">
            <w:pPr>
              <w:ind w:left="0"/>
              <w:jc w:val="center"/>
              <w:rPr>
                <w:color w:val="000000"/>
                <w:kern w:val="0"/>
                <w:sz w:val="22"/>
                <w:szCs w:val="22"/>
              </w:rPr>
            </w:pPr>
          </w:p>
        </w:tc>
        <w:tc>
          <w:tcPr>
            <w:tcW w:w="431" w:type="pct"/>
            <w:tcBorders>
              <w:top w:val="single" w:color="auto" w:sz="4" w:space="0"/>
              <w:left w:val="single" w:color="auto" w:sz="4" w:space="0"/>
              <w:bottom w:val="single" w:color="auto" w:sz="4" w:space="0"/>
              <w:right w:val="single" w:color="auto" w:sz="4" w:space="0"/>
            </w:tcBorders>
            <w:noWrap/>
            <w:vAlign w:val="center"/>
          </w:tcPr>
          <w:p w14:paraId="45E136EF">
            <w:pPr>
              <w:ind w:left="0"/>
              <w:jc w:val="center"/>
              <w:rPr>
                <w:color w:val="000000"/>
                <w:kern w:val="0"/>
                <w:sz w:val="22"/>
                <w:szCs w:val="22"/>
              </w:rPr>
            </w:pPr>
          </w:p>
        </w:tc>
        <w:tc>
          <w:tcPr>
            <w:tcW w:w="431" w:type="pct"/>
            <w:tcBorders>
              <w:top w:val="nil"/>
              <w:left w:val="nil"/>
              <w:bottom w:val="single" w:color="auto" w:sz="4" w:space="0"/>
              <w:right w:val="single" w:color="auto" w:sz="4" w:space="0"/>
            </w:tcBorders>
            <w:noWrap/>
            <w:vAlign w:val="center"/>
          </w:tcPr>
          <w:p w14:paraId="6C0537BA">
            <w:pPr>
              <w:ind w:left="0"/>
              <w:jc w:val="center"/>
              <w:rPr>
                <w:color w:val="000000"/>
                <w:kern w:val="0"/>
                <w:sz w:val="22"/>
                <w:szCs w:val="22"/>
              </w:rPr>
            </w:pPr>
          </w:p>
        </w:tc>
        <w:tc>
          <w:tcPr>
            <w:tcW w:w="431" w:type="pct"/>
            <w:tcBorders>
              <w:top w:val="nil"/>
              <w:left w:val="nil"/>
              <w:bottom w:val="single" w:color="auto" w:sz="4" w:space="0"/>
              <w:right w:val="single" w:color="auto" w:sz="4" w:space="0"/>
            </w:tcBorders>
            <w:noWrap/>
            <w:vAlign w:val="center"/>
          </w:tcPr>
          <w:p w14:paraId="1F37D0A9">
            <w:pPr>
              <w:ind w:left="0"/>
              <w:jc w:val="center"/>
              <w:rPr>
                <w:color w:val="000000"/>
                <w:kern w:val="0"/>
                <w:sz w:val="22"/>
                <w:szCs w:val="22"/>
              </w:rPr>
            </w:pPr>
          </w:p>
        </w:tc>
        <w:tc>
          <w:tcPr>
            <w:tcW w:w="439" w:type="pct"/>
            <w:tcBorders>
              <w:top w:val="nil"/>
              <w:left w:val="nil"/>
              <w:bottom w:val="single" w:color="auto" w:sz="4" w:space="0"/>
              <w:right w:val="single" w:color="auto" w:sz="4" w:space="0"/>
            </w:tcBorders>
            <w:noWrap/>
            <w:vAlign w:val="center"/>
          </w:tcPr>
          <w:p w14:paraId="3B4CA110">
            <w:pPr>
              <w:ind w:left="0"/>
              <w:jc w:val="center"/>
              <w:rPr>
                <w:color w:val="000000"/>
                <w:kern w:val="0"/>
                <w:sz w:val="22"/>
                <w:szCs w:val="22"/>
              </w:rPr>
            </w:pPr>
          </w:p>
        </w:tc>
      </w:tr>
      <w:tr w14:paraId="29C40908">
        <w:tblPrEx>
          <w:tblCellMar>
            <w:top w:w="0" w:type="dxa"/>
            <w:left w:w="108" w:type="dxa"/>
            <w:bottom w:w="0" w:type="dxa"/>
            <w:right w:w="108" w:type="dxa"/>
          </w:tblCellMar>
        </w:tblPrEx>
        <w:trPr>
          <w:trHeight w:val="454" w:hRule="atLeast"/>
        </w:trPr>
        <w:tc>
          <w:tcPr>
            <w:tcW w:w="1030" w:type="pct"/>
            <w:tcBorders>
              <w:top w:val="nil"/>
              <w:left w:val="single" w:color="auto" w:sz="4" w:space="0"/>
              <w:bottom w:val="single" w:color="auto" w:sz="4" w:space="0"/>
              <w:right w:val="single" w:color="auto" w:sz="4" w:space="0"/>
            </w:tcBorders>
            <w:noWrap/>
            <w:vAlign w:val="center"/>
          </w:tcPr>
          <w:p w14:paraId="7122E617">
            <w:pPr>
              <w:ind w:left="0"/>
              <w:jc w:val="center"/>
              <w:rPr>
                <w:rFonts w:hint="eastAsia" w:ascii="宋体" w:hAnsi="宋体" w:cs="宋体"/>
                <w:color w:val="000000"/>
                <w:kern w:val="0"/>
                <w:sz w:val="22"/>
                <w:szCs w:val="22"/>
              </w:rPr>
            </w:pPr>
            <w:r>
              <w:rPr>
                <w:rFonts w:hint="eastAsia" w:ascii="宋体" w:hAnsi="宋体" w:cs="宋体"/>
                <w:color w:val="000000"/>
                <w:kern w:val="0"/>
                <w:sz w:val="22"/>
                <w:szCs w:val="22"/>
              </w:rPr>
              <w:t>分辨力引入</w:t>
            </w:r>
          </w:p>
        </w:tc>
        <w:tc>
          <w:tcPr>
            <w:tcW w:w="347" w:type="pct"/>
            <w:tcBorders>
              <w:top w:val="nil"/>
              <w:left w:val="nil"/>
              <w:bottom w:val="single" w:color="auto" w:sz="4" w:space="0"/>
              <w:right w:val="single" w:color="auto" w:sz="4" w:space="0"/>
            </w:tcBorders>
            <w:noWrap/>
            <w:vAlign w:val="center"/>
          </w:tcPr>
          <w:p w14:paraId="62E20188">
            <w:pPr>
              <w:ind w:left="0"/>
              <w:jc w:val="center"/>
              <w:rPr>
                <w:i/>
                <w:iCs/>
                <w:color w:val="000000"/>
                <w:kern w:val="0"/>
                <w:sz w:val="22"/>
                <w:szCs w:val="22"/>
              </w:rPr>
            </w:pPr>
            <w:r>
              <w:rPr>
                <w:color w:val="000000"/>
                <w:kern w:val="0"/>
                <w:sz w:val="22"/>
                <w:szCs w:val="22"/>
              </w:rPr>
              <w:drawing>
                <wp:anchor distT="0" distB="0" distL="114300" distR="114300" simplePos="0" relativeHeight="251674624" behindDoc="0" locked="0" layoutInCell="1" allowOverlap="1">
                  <wp:simplePos x="0" y="0"/>
                  <wp:positionH relativeFrom="column">
                    <wp:posOffset>-6985</wp:posOffset>
                  </wp:positionH>
                  <wp:positionV relativeFrom="paragraph">
                    <wp:posOffset>1232535</wp:posOffset>
                  </wp:positionV>
                  <wp:extent cx="400050" cy="209550"/>
                  <wp:effectExtent l="0" t="0" r="0" b="0"/>
                  <wp:wrapNone/>
                  <wp:docPr id="8"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0"/>
                          <pic:cNvPicPr>
                            <a:picLocks noChangeAspect="1" noChangeArrowheads="1"/>
                          </pic:cNvPicPr>
                        </pic:nvPicPr>
                        <pic:blipFill>
                          <a:blip r:embed="rId89">
                            <a:extLst>
                              <a:ext uri="{28A0092B-C50C-407E-A947-70E740481C1C}">
                                <a14:useLocalDpi xmlns:a14="http://schemas.microsoft.com/office/drawing/2010/main" val="0"/>
                              </a:ext>
                            </a:extLst>
                          </a:blip>
                          <a:srcRect/>
                          <a:stretch>
                            <a:fillRect/>
                          </a:stretch>
                        </pic:blipFill>
                        <pic:spPr>
                          <a:xfrm>
                            <a:off x="0" y="0"/>
                            <a:ext cx="400050" cy="209550"/>
                          </a:xfrm>
                          <a:prstGeom prst="rect">
                            <a:avLst/>
                          </a:prstGeom>
                          <a:noFill/>
                          <a:ln>
                            <a:noFill/>
                          </a:ln>
                        </pic:spPr>
                      </pic:pic>
                    </a:graphicData>
                  </a:graphic>
                </wp:anchor>
              </w:drawing>
            </w:r>
            <w:r>
              <w:rPr>
                <w:i/>
                <w:iCs/>
                <w:color w:val="000000"/>
                <w:kern w:val="0"/>
                <w:sz w:val="22"/>
                <w:szCs w:val="22"/>
              </w:rPr>
              <w:drawing>
                <wp:anchor distT="0" distB="0" distL="114300" distR="114300" simplePos="0" relativeHeight="251678720" behindDoc="0" locked="0" layoutInCell="1" allowOverlap="1">
                  <wp:simplePos x="0" y="0"/>
                  <wp:positionH relativeFrom="column">
                    <wp:posOffset>-5715</wp:posOffset>
                  </wp:positionH>
                  <wp:positionV relativeFrom="paragraph">
                    <wp:posOffset>81915</wp:posOffset>
                  </wp:positionV>
                  <wp:extent cx="400050" cy="209550"/>
                  <wp:effectExtent l="0" t="0" r="0" b="0"/>
                  <wp:wrapNone/>
                  <wp:docPr id="12"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6"/>
                          <pic:cNvPicPr>
                            <a:picLocks noChangeAspect="1" noChangeArrowheads="1"/>
                          </pic:cNvPicPr>
                        </pic:nvPicPr>
                        <pic:blipFill>
                          <a:blip r:embed="rId93">
                            <a:extLst>
                              <a:ext uri="{28A0092B-C50C-407E-A947-70E740481C1C}">
                                <a14:useLocalDpi xmlns:a14="http://schemas.microsoft.com/office/drawing/2010/main" val="0"/>
                              </a:ext>
                            </a:extLst>
                          </a:blip>
                          <a:srcRect/>
                          <a:stretch>
                            <a:fillRect/>
                          </a:stretch>
                        </pic:blipFill>
                        <pic:spPr>
                          <a:xfrm>
                            <a:off x="0" y="0"/>
                            <a:ext cx="400050" cy="209550"/>
                          </a:xfrm>
                          <a:prstGeom prst="rect">
                            <a:avLst/>
                          </a:prstGeom>
                          <a:noFill/>
                          <a:ln>
                            <a:noFill/>
                          </a:ln>
                        </pic:spPr>
                      </pic:pic>
                    </a:graphicData>
                  </a:graphic>
                </wp:anchor>
              </w:drawing>
            </w:r>
            <w:r>
              <w:rPr>
                <w:color w:val="000000"/>
                <w:kern w:val="0"/>
                <w:sz w:val="22"/>
                <w:szCs w:val="22"/>
              </w:rPr>
              <w:drawing>
                <wp:anchor distT="0" distB="0" distL="114300" distR="114300" simplePos="0" relativeHeight="251679744" behindDoc="0" locked="0" layoutInCell="1" allowOverlap="1">
                  <wp:simplePos x="0" y="0"/>
                  <wp:positionH relativeFrom="column">
                    <wp:posOffset>-26035</wp:posOffset>
                  </wp:positionH>
                  <wp:positionV relativeFrom="paragraph">
                    <wp:posOffset>343535</wp:posOffset>
                  </wp:positionV>
                  <wp:extent cx="527050" cy="241300"/>
                  <wp:effectExtent l="0" t="0" r="6350" b="5080"/>
                  <wp:wrapNone/>
                  <wp:docPr id="13"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5"/>
                          <pic:cNvPicPr>
                            <a:picLocks noChangeAspect="1" noChangeArrowheads="1"/>
                          </pic:cNvPicPr>
                        </pic:nvPicPr>
                        <pic:blipFill>
                          <a:blip r:embed="rId94">
                            <a:extLst>
                              <a:ext uri="{28A0092B-C50C-407E-A947-70E740481C1C}">
                                <a14:useLocalDpi xmlns:a14="http://schemas.microsoft.com/office/drawing/2010/main" val="0"/>
                              </a:ext>
                            </a:extLst>
                          </a:blip>
                          <a:srcRect/>
                          <a:stretch>
                            <a:fillRect/>
                          </a:stretch>
                        </pic:blipFill>
                        <pic:spPr>
                          <a:xfrm>
                            <a:off x="0" y="0"/>
                            <a:ext cx="527050" cy="241300"/>
                          </a:xfrm>
                          <a:prstGeom prst="rect">
                            <a:avLst/>
                          </a:prstGeom>
                          <a:noFill/>
                          <a:ln>
                            <a:noFill/>
                          </a:ln>
                        </pic:spPr>
                      </pic:pic>
                    </a:graphicData>
                  </a:graphic>
                </wp:anchor>
              </w:drawing>
            </w:r>
            <w:r>
              <w:rPr>
                <w:color w:val="000000"/>
                <w:kern w:val="0"/>
                <w:sz w:val="22"/>
                <w:szCs w:val="22"/>
              </w:rPr>
              <w:drawing>
                <wp:anchor distT="0" distB="0" distL="114300" distR="114300" simplePos="0" relativeHeight="251673600" behindDoc="0" locked="0" layoutInCell="1" allowOverlap="1">
                  <wp:simplePos x="0" y="0"/>
                  <wp:positionH relativeFrom="column">
                    <wp:posOffset>-19685</wp:posOffset>
                  </wp:positionH>
                  <wp:positionV relativeFrom="paragraph">
                    <wp:posOffset>635635</wp:posOffset>
                  </wp:positionV>
                  <wp:extent cx="527050" cy="228600"/>
                  <wp:effectExtent l="0" t="0" r="6350" b="0"/>
                  <wp:wrapNone/>
                  <wp:docPr id="1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4"/>
                          <pic:cNvPicPr>
                            <a:picLocks noChangeAspect="1" noChangeArrowheads="1"/>
                          </pic:cNvPicPr>
                        </pic:nvPicPr>
                        <pic:blipFill>
                          <a:blip r:embed="rId95">
                            <a:extLst>
                              <a:ext uri="{28A0092B-C50C-407E-A947-70E740481C1C}">
                                <a14:useLocalDpi xmlns:a14="http://schemas.microsoft.com/office/drawing/2010/main" val="0"/>
                              </a:ext>
                            </a:extLst>
                          </a:blip>
                          <a:srcRect/>
                          <a:stretch>
                            <a:fillRect/>
                          </a:stretch>
                        </pic:blipFill>
                        <pic:spPr>
                          <a:xfrm>
                            <a:off x="0" y="0"/>
                            <a:ext cx="527050" cy="228600"/>
                          </a:xfrm>
                          <a:prstGeom prst="rect">
                            <a:avLst/>
                          </a:prstGeom>
                          <a:noFill/>
                          <a:ln>
                            <a:noFill/>
                          </a:ln>
                        </pic:spPr>
                      </pic:pic>
                    </a:graphicData>
                  </a:graphic>
                </wp:anchor>
              </w:drawing>
            </w:r>
          </w:p>
        </w:tc>
        <w:tc>
          <w:tcPr>
            <w:tcW w:w="158" w:type="pct"/>
            <w:tcBorders>
              <w:top w:val="nil"/>
              <w:left w:val="nil"/>
              <w:bottom w:val="single" w:color="auto" w:sz="4" w:space="0"/>
              <w:right w:val="single" w:color="auto" w:sz="4" w:space="0"/>
            </w:tcBorders>
            <w:noWrap/>
            <w:vAlign w:val="center"/>
          </w:tcPr>
          <w:p w14:paraId="13619DF1">
            <w:pPr>
              <w:ind w:left="0"/>
              <w:jc w:val="center"/>
              <w:rPr>
                <w:color w:val="000000"/>
                <w:kern w:val="0"/>
                <w:sz w:val="22"/>
                <w:szCs w:val="22"/>
              </w:rPr>
            </w:pPr>
          </w:p>
        </w:tc>
        <w:tc>
          <w:tcPr>
            <w:tcW w:w="3462" w:type="pct"/>
            <w:gridSpan w:val="8"/>
            <w:tcBorders>
              <w:top w:val="single" w:color="auto" w:sz="4" w:space="0"/>
              <w:left w:val="nil"/>
              <w:bottom w:val="single" w:color="auto" w:sz="4" w:space="0"/>
              <w:right w:val="single" w:color="auto" w:sz="4" w:space="0"/>
            </w:tcBorders>
            <w:vAlign w:val="center"/>
          </w:tcPr>
          <w:p w14:paraId="22F4F0BB">
            <w:pPr>
              <w:ind w:left="0"/>
              <w:jc w:val="center"/>
              <w:rPr>
                <w:color w:val="000000"/>
                <w:kern w:val="0"/>
                <w:sz w:val="22"/>
                <w:szCs w:val="22"/>
              </w:rPr>
            </w:pPr>
          </w:p>
        </w:tc>
      </w:tr>
      <w:tr w14:paraId="0E1471CF">
        <w:tblPrEx>
          <w:tblCellMar>
            <w:top w:w="0" w:type="dxa"/>
            <w:left w:w="108" w:type="dxa"/>
            <w:bottom w:w="0" w:type="dxa"/>
            <w:right w:w="108" w:type="dxa"/>
          </w:tblCellMar>
        </w:tblPrEx>
        <w:trPr>
          <w:trHeight w:val="454" w:hRule="atLeast"/>
        </w:trPr>
        <w:tc>
          <w:tcPr>
            <w:tcW w:w="1030" w:type="pct"/>
            <w:tcBorders>
              <w:top w:val="nil"/>
              <w:left w:val="single" w:color="auto" w:sz="4" w:space="0"/>
              <w:bottom w:val="single" w:color="auto" w:sz="4" w:space="0"/>
              <w:right w:val="single" w:color="auto" w:sz="4" w:space="0"/>
            </w:tcBorders>
            <w:noWrap/>
            <w:vAlign w:val="center"/>
          </w:tcPr>
          <w:p w14:paraId="609B3C3D">
            <w:pPr>
              <w:ind w:left="0"/>
              <w:jc w:val="center"/>
              <w:rPr>
                <w:rFonts w:hint="eastAsia" w:ascii="宋体" w:hAnsi="宋体" w:cs="宋体"/>
                <w:color w:val="000000"/>
                <w:kern w:val="0"/>
                <w:sz w:val="22"/>
                <w:szCs w:val="22"/>
              </w:rPr>
            </w:pPr>
            <w:r>
              <w:rPr>
                <w:rFonts w:hint="eastAsia" w:ascii="宋体" w:hAnsi="宋体" w:cs="宋体"/>
                <w:color w:val="000000"/>
                <w:kern w:val="0"/>
                <w:sz w:val="22"/>
                <w:szCs w:val="22"/>
              </w:rPr>
              <w:t>重复性</w:t>
            </w:r>
          </w:p>
        </w:tc>
        <w:tc>
          <w:tcPr>
            <w:tcW w:w="347" w:type="pct"/>
            <w:tcBorders>
              <w:top w:val="nil"/>
              <w:left w:val="nil"/>
              <w:bottom w:val="single" w:color="auto" w:sz="4" w:space="0"/>
              <w:right w:val="single" w:color="auto" w:sz="4" w:space="0"/>
            </w:tcBorders>
            <w:noWrap/>
            <w:vAlign w:val="center"/>
          </w:tcPr>
          <w:p w14:paraId="3E62E32D">
            <w:pPr>
              <w:ind w:left="0"/>
              <w:jc w:val="center"/>
              <w:rPr>
                <w:color w:val="000000"/>
                <w:kern w:val="0"/>
                <w:sz w:val="22"/>
                <w:szCs w:val="22"/>
              </w:rPr>
            </w:pPr>
          </w:p>
        </w:tc>
        <w:tc>
          <w:tcPr>
            <w:tcW w:w="158" w:type="pct"/>
            <w:tcBorders>
              <w:top w:val="nil"/>
              <w:left w:val="nil"/>
              <w:bottom w:val="single" w:color="auto" w:sz="4" w:space="0"/>
              <w:right w:val="single" w:color="auto" w:sz="4" w:space="0"/>
            </w:tcBorders>
            <w:noWrap/>
            <w:vAlign w:val="center"/>
          </w:tcPr>
          <w:p w14:paraId="72B20837">
            <w:pPr>
              <w:ind w:left="0"/>
              <w:jc w:val="center"/>
              <w:rPr>
                <w:color w:val="000000"/>
                <w:kern w:val="0"/>
                <w:sz w:val="22"/>
                <w:szCs w:val="22"/>
              </w:rPr>
            </w:pPr>
          </w:p>
        </w:tc>
        <w:tc>
          <w:tcPr>
            <w:tcW w:w="3462" w:type="pct"/>
            <w:gridSpan w:val="8"/>
            <w:tcBorders>
              <w:top w:val="single" w:color="auto" w:sz="4" w:space="0"/>
              <w:left w:val="nil"/>
              <w:bottom w:val="single" w:color="auto" w:sz="4" w:space="0"/>
              <w:right w:val="single" w:color="auto" w:sz="4" w:space="0"/>
            </w:tcBorders>
            <w:vAlign w:val="center"/>
          </w:tcPr>
          <w:p w14:paraId="32F22223">
            <w:pPr>
              <w:ind w:left="0"/>
              <w:jc w:val="center"/>
              <w:rPr>
                <w:color w:val="000000"/>
                <w:kern w:val="0"/>
                <w:sz w:val="22"/>
                <w:szCs w:val="22"/>
              </w:rPr>
            </w:pPr>
          </w:p>
        </w:tc>
      </w:tr>
      <w:tr w14:paraId="21698C70">
        <w:tblPrEx>
          <w:tblCellMar>
            <w:top w:w="0" w:type="dxa"/>
            <w:left w:w="108" w:type="dxa"/>
            <w:bottom w:w="0" w:type="dxa"/>
            <w:right w:w="108" w:type="dxa"/>
          </w:tblCellMar>
        </w:tblPrEx>
        <w:trPr>
          <w:trHeight w:val="454" w:hRule="atLeast"/>
        </w:trPr>
        <w:tc>
          <w:tcPr>
            <w:tcW w:w="1030" w:type="pct"/>
            <w:tcBorders>
              <w:top w:val="nil"/>
              <w:left w:val="single" w:color="auto" w:sz="4" w:space="0"/>
              <w:bottom w:val="single" w:color="auto" w:sz="4" w:space="0"/>
              <w:right w:val="single" w:color="auto" w:sz="4" w:space="0"/>
            </w:tcBorders>
            <w:noWrap/>
            <w:vAlign w:val="center"/>
          </w:tcPr>
          <w:p w14:paraId="415EC48D">
            <w:pPr>
              <w:ind w:left="0"/>
              <w:jc w:val="center"/>
              <w:rPr>
                <w:rFonts w:hint="eastAsia" w:ascii="宋体" w:hAnsi="宋体" w:cs="宋体"/>
                <w:color w:val="000000"/>
                <w:kern w:val="0"/>
                <w:sz w:val="22"/>
                <w:szCs w:val="22"/>
              </w:rPr>
            </w:pPr>
            <w:r>
              <w:rPr>
                <w:rFonts w:hint="eastAsia" w:ascii="宋体" w:hAnsi="宋体" w:cs="宋体"/>
                <w:color w:val="000000"/>
                <w:kern w:val="0"/>
                <w:sz w:val="22"/>
                <w:szCs w:val="22"/>
              </w:rPr>
              <w:t>载荷在不同位置误差</w:t>
            </w:r>
          </w:p>
        </w:tc>
        <w:tc>
          <w:tcPr>
            <w:tcW w:w="347" w:type="pct"/>
            <w:tcBorders>
              <w:top w:val="nil"/>
              <w:left w:val="nil"/>
              <w:bottom w:val="single" w:color="auto" w:sz="4" w:space="0"/>
              <w:right w:val="single" w:color="auto" w:sz="4" w:space="0"/>
            </w:tcBorders>
            <w:noWrap/>
            <w:vAlign w:val="center"/>
          </w:tcPr>
          <w:p w14:paraId="6BA73175">
            <w:pPr>
              <w:ind w:left="0"/>
              <w:jc w:val="center"/>
              <w:rPr>
                <w:color w:val="000000"/>
                <w:kern w:val="0"/>
                <w:sz w:val="22"/>
                <w:szCs w:val="22"/>
              </w:rPr>
            </w:pPr>
          </w:p>
        </w:tc>
        <w:tc>
          <w:tcPr>
            <w:tcW w:w="158" w:type="pct"/>
            <w:tcBorders>
              <w:top w:val="nil"/>
              <w:left w:val="nil"/>
              <w:bottom w:val="single" w:color="auto" w:sz="4" w:space="0"/>
              <w:right w:val="single" w:color="auto" w:sz="4" w:space="0"/>
            </w:tcBorders>
            <w:noWrap/>
            <w:vAlign w:val="center"/>
          </w:tcPr>
          <w:p w14:paraId="0821465A">
            <w:pPr>
              <w:ind w:left="0"/>
              <w:jc w:val="center"/>
              <w:rPr>
                <w:color w:val="000000"/>
                <w:kern w:val="0"/>
                <w:sz w:val="22"/>
                <w:szCs w:val="22"/>
              </w:rPr>
            </w:pPr>
          </w:p>
        </w:tc>
        <w:tc>
          <w:tcPr>
            <w:tcW w:w="431" w:type="pct"/>
            <w:tcBorders>
              <w:top w:val="nil"/>
              <w:left w:val="nil"/>
              <w:bottom w:val="single" w:color="auto" w:sz="4" w:space="0"/>
              <w:right w:val="single" w:color="auto" w:sz="4" w:space="0"/>
            </w:tcBorders>
            <w:noWrap/>
            <w:vAlign w:val="center"/>
          </w:tcPr>
          <w:p w14:paraId="7F948D15">
            <w:pPr>
              <w:ind w:left="0"/>
              <w:jc w:val="center"/>
              <w:rPr>
                <w:color w:val="000000"/>
                <w:kern w:val="0"/>
                <w:sz w:val="22"/>
                <w:szCs w:val="22"/>
              </w:rPr>
            </w:pPr>
          </w:p>
        </w:tc>
        <w:tc>
          <w:tcPr>
            <w:tcW w:w="431" w:type="pct"/>
            <w:tcBorders>
              <w:top w:val="nil"/>
              <w:left w:val="nil"/>
              <w:bottom w:val="single" w:color="auto" w:sz="4" w:space="0"/>
              <w:right w:val="single" w:color="auto" w:sz="4" w:space="0"/>
            </w:tcBorders>
            <w:noWrap/>
            <w:vAlign w:val="center"/>
          </w:tcPr>
          <w:p w14:paraId="00F56D26">
            <w:pPr>
              <w:ind w:left="0"/>
              <w:jc w:val="center"/>
              <w:rPr>
                <w:color w:val="000000"/>
                <w:kern w:val="0"/>
                <w:sz w:val="22"/>
                <w:szCs w:val="22"/>
              </w:rPr>
            </w:pPr>
          </w:p>
        </w:tc>
        <w:tc>
          <w:tcPr>
            <w:tcW w:w="431" w:type="pct"/>
            <w:tcBorders>
              <w:top w:val="nil"/>
              <w:left w:val="nil"/>
              <w:bottom w:val="single" w:color="auto" w:sz="4" w:space="0"/>
              <w:right w:val="single" w:color="auto" w:sz="4" w:space="0"/>
            </w:tcBorders>
            <w:noWrap/>
            <w:vAlign w:val="center"/>
          </w:tcPr>
          <w:p w14:paraId="6268EA7F">
            <w:pPr>
              <w:ind w:left="0"/>
              <w:jc w:val="center"/>
              <w:rPr>
                <w:color w:val="000000"/>
                <w:kern w:val="0"/>
                <w:sz w:val="22"/>
                <w:szCs w:val="22"/>
              </w:rPr>
            </w:pPr>
          </w:p>
        </w:tc>
        <w:tc>
          <w:tcPr>
            <w:tcW w:w="431" w:type="pct"/>
            <w:tcBorders>
              <w:top w:val="single" w:color="auto" w:sz="4" w:space="0"/>
              <w:left w:val="nil"/>
              <w:bottom w:val="single" w:color="auto" w:sz="4" w:space="0"/>
              <w:right w:val="single" w:color="auto" w:sz="4" w:space="0"/>
            </w:tcBorders>
            <w:vAlign w:val="center"/>
          </w:tcPr>
          <w:p w14:paraId="6DF903F8">
            <w:pPr>
              <w:ind w:left="0"/>
              <w:jc w:val="center"/>
              <w:rPr>
                <w:color w:val="000000"/>
                <w:kern w:val="0"/>
                <w:sz w:val="22"/>
                <w:szCs w:val="22"/>
              </w:rPr>
            </w:pPr>
          </w:p>
        </w:tc>
        <w:tc>
          <w:tcPr>
            <w:tcW w:w="431" w:type="pct"/>
            <w:tcBorders>
              <w:top w:val="single" w:color="auto" w:sz="4" w:space="0"/>
              <w:left w:val="single" w:color="auto" w:sz="4" w:space="0"/>
              <w:bottom w:val="single" w:color="auto" w:sz="4" w:space="0"/>
              <w:right w:val="single" w:color="auto" w:sz="4" w:space="0"/>
            </w:tcBorders>
            <w:noWrap/>
            <w:vAlign w:val="center"/>
          </w:tcPr>
          <w:p w14:paraId="051A33BD">
            <w:pPr>
              <w:ind w:left="0"/>
              <w:jc w:val="center"/>
              <w:rPr>
                <w:color w:val="000000"/>
                <w:kern w:val="0"/>
                <w:sz w:val="22"/>
                <w:szCs w:val="22"/>
              </w:rPr>
            </w:pPr>
          </w:p>
        </w:tc>
        <w:tc>
          <w:tcPr>
            <w:tcW w:w="431" w:type="pct"/>
            <w:tcBorders>
              <w:top w:val="nil"/>
              <w:left w:val="nil"/>
              <w:bottom w:val="single" w:color="auto" w:sz="4" w:space="0"/>
              <w:right w:val="single" w:color="auto" w:sz="4" w:space="0"/>
            </w:tcBorders>
            <w:noWrap/>
            <w:vAlign w:val="center"/>
          </w:tcPr>
          <w:p w14:paraId="593F89D6">
            <w:pPr>
              <w:ind w:left="0"/>
              <w:jc w:val="center"/>
              <w:rPr>
                <w:color w:val="000000"/>
                <w:kern w:val="0"/>
                <w:sz w:val="22"/>
                <w:szCs w:val="22"/>
              </w:rPr>
            </w:pPr>
          </w:p>
        </w:tc>
        <w:tc>
          <w:tcPr>
            <w:tcW w:w="431" w:type="pct"/>
            <w:tcBorders>
              <w:top w:val="nil"/>
              <w:left w:val="nil"/>
              <w:bottom w:val="single" w:color="auto" w:sz="4" w:space="0"/>
              <w:right w:val="single" w:color="auto" w:sz="4" w:space="0"/>
            </w:tcBorders>
            <w:noWrap/>
            <w:vAlign w:val="center"/>
          </w:tcPr>
          <w:p w14:paraId="7597CF13">
            <w:pPr>
              <w:ind w:left="0"/>
              <w:jc w:val="center"/>
              <w:rPr>
                <w:color w:val="000000"/>
                <w:kern w:val="0"/>
                <w:sz w:val="22"/>
                <w:szCs w:val="22"/>
              </w:rPr>
            </w:pPr>
          </w:p>
        </w:tc>
        <w:tc>
          <w:tcPr>
            <w:tcW w:w="439" w:type="pct"/>
            <w:tcBorders>
              <w:top w:val="nil"/>
              <w:left w:val="nil"/>
              <w:bottom w:val="single" w:color="auto" w:sz="4" w:space="0"/>
              <w:right w:val="single" w:color="auto" w:sz="4" w:space="0"/>
            </w:tcBorders>
            <w:noWrap/>
            <w:vAlign w:val="center"/>
          </w:tcPr>
          <w:p w14:paraId="5BF0012A">
            <w:pPr>
              <w:ind w:left="0"/>
              <w:jc w:val="center"/>
              <w:rPr>
                <w:color w:val="000000"/>
                <w:kern w:val="0"/>
                <w:sz w:val="22"/>
                <w:szCs w:val="22"/>
              </w:rPr>
            </w:pPr>
          </w:p>
        </w:tc>
      </w:tr>
      <w:tr w14:paraId="2D87EAAA">
        <w:tblPrEx>
          <w:tblCellMar>
            <w:top w:w="0" w:type="dxa"/>
            <w:left w:w="108" w:type="dxa"/>
            <w:bottom w:w="0" w:type="dxa"/>
            <w:right w:w="108" w:type="dxa"/>
          </w:tblCellMar>
        </w:tblPrEx>
        <w:trPr>
          <w:trHeight w:val="454" w:hRule="atLeast"/>
        </w:trPr>
        <w:tc>
          <w:tcPr>
            <w:tcW w:w="1030" w:type="pct"/>
            <w:tcBorders>
              <w:top w:val="nil"/>
              <w:left w:val="single" w:color="auto" w:sz="4" w:space="0"/>
              <w:bottom w:val="single" w:color="auto" w:sz="4" w:space="0"/>
              <w:right w:val="single" w:color="auto" w:sz="4" w:space="0"/>
            </w:tcBorders>
            <w:noWrap/>
            <w:vAlign w:val="center"/>
          </w:tcPr>
          <w:p w14:paraId="693D78E8">
            <w:pPr>
              <w:ind w:left="0"/>
              <w:jc w:val="center"/>
              <w:rPr>
                <w:rFonts w:hint="eastAsia" w:ascii="宋体" w:hAnsi="宋体" w:cs="宋体"/>
                <w:color w:val="000000"/>
                <w:kern w:val="0"/>
                <w:sz w:val="22"/>
                <w:szCs w:val="22"/>
              </w:rPr>
            </w:pPr>
            <w:r>
              <w:rPr>
                <w:rFonts w:hint="eastAsia" w:ascii="宋体" w:hAnsi="宋体" w:cs="宋体"/>
                <w:color w:val="000000"/>
                <w:kern w:val="0"/>
                <w:sz w:val="22"/>
                <w:szCs w:val="22"/>
              </w:rPr>
              <w:t>蠕变和滞后</w:t>
            </w:r>
          </w:p>
        </w:tc>
        <w:tc>
          <w:tcPr>
            <w:tcW w:w="347" w:type="pct"/>
            <w:tcBorders>
              <w:top w:val="nil"/>
              <w:left w:val="nil"/>
              <w:bottom w:val="single" w:color="auto" w:sz="4" w:space="0"/>
              <w:right w:val="single" w:color="auto" w:sz="4" w:space="0"/>
            </w:tcBorders>
            <w:noWrap/>
            <w:vAlign w:val="center"/>
          </w:tcPr>
          <w:p w14:paraId="76543C69">
            <w:pPr>
              <w:ind w:left="0"/>
              <w:jc w:val="center"/>
              <w:rPr>
                <w:color w:val="000000"/>
                <w:kern w:val="0"/>
                <w:sz w:val="22"/>
                <w:szCs w:val="22"/>
              </w:rPr>
            </w:pPr>
            <w:r>
              <w:rPr>
                <w:color w:val="000000"/>
                <w:kern w:val="0"/>
                <w:sz w:val="22"/>
                <w:szCs w:val="22"/>
              </w:rPr>
              <w:drawing>
                <wp:anchor distT="0" distB="0" distL="114300" distR="114300" simplePos="0" relativeHeight="251677696" behindDoc="0" locked="0" layoutInCell="1" allowOverlap="1">
                  <wp:simplePos x="0" y="0"/>
                  <wp:positionH relativeFrom="column">
                    <wp:posOffset>-29845</wp:posOffset>
                  </wp:positionH>
                  <wp:positionV relativeFrom="paragraph">
                    <wp:posOffset>8255</wp:posOffset>
                  </wp:positionV>
                  <wp:extent cx="565150" cy="228600"/>
                  <wp:effectExtent l="0" t="0" r="6350" b="0"/>
                  <wp:wrapNone/>
                  <wp:docPr id="7"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1"/>
                          <pic:cNvPicPr>
                            <a:picLocks noChangeAspect="1" noChangeArrowheads="1"/>
                          </pic:cNvPicPr>
                        </pic:nvPicPr>
                        <pic:blipFill>
                          <a:blip r:embed="rId88">
                            <a:extLst>
                              <a:ext uri="{28A0092B-C50C-407E-A947-70E740481C1C}">
                                <a14:useLocalDpi xmlns:a14="http://schemas.microsoft.com/office/drawing/2010/main" val="0"/>
                              </a:ext>
                            </a:extLst>
                          </a:blip>
                          <a:srcRect/>
                          <a:stretch>
                            <a:fillRect/>
                          </a:stretch>
                        </pic:blipFill>
                        <pic:spPr>
                          <a:xfrm>
                            <a:off x="0" y="0"/>
                            <a:ext cx="565150" cy="228600"/>
                          </a:xfrm>
                          <a:prstGeom prst="rect">
                            <a:avLst/>
                          </a:prstGeom>
                          <a:noFill/>
                          <a:ln>
                            <a:noFill/>
                          </a:ln>
                        </pic:spPr>
                      </pic:pic>
                    </a:graphicData>
                  </a:graphic>
                </wp:anchor>
              </w:drawing>
            </w:r>
          </w:p>
        </w:tc>
        <w:tc>
          <w:tcPr>
            <w:tcW w:w="158" w:type="pct"/>
            <w:tcBorders>
              <w:top w:val="nil"/>
              <w:left w:val="nil"/>
              <w:bottom w:val="single" w:color="auto" w:sz="4" w:space="0"/>
              <w:right w:val="single" w:color="auto" w:sz="4" w:space="0"/>
            </w:tcBorders>
            <w:noWrap/>
            <w:vAlign w:val="center"/>
          </w:tcPr>
          <w:p w14:paraId="189E8A13">
            <w:pPr>
              <w:ind w:left="0"/>
              <w:jc w:val="center"/>
              <w:rPr>
                <w:color w:val="000000"/>
                <w:kern w:val="0"/>
                <w:sz w:val="22"/>
                <w:szCs w:val="22"/>
              </w:rPr>
            </w:pPr>
          </w:p>
        </w:tc>
        <w:tc>
          <w:tcPr>
            <w:tcW w:w="431" w:type="pct"/>
            <w:tcBorders>
              <w:top w:val="nil"/>
              <w:left w:val="nil"/>
              <w:bottom w:val="single" w:color="auto" w:sz="4" w:space="0"/>
              <w:right w:val="single" w:color="auto" w:sz="4" w:space="0"/>
            </w:tcBorders>
            <w:noWrap/>
            <w:vAlign w:val="center"/>
          </w:tcPr>
          <w:p w14:paraId="1523AD2F">
            <w:pPr>
              <w:ind w:left="0"/>
              <w:jc w:val="center"/>
              <w:rPr>
                <w:color w:val="000000"/>
                <w:kern w:val="0"/>
                <w:sz w:val="22"/>
                <w:szCs w:val="22"/>
              </w:rPr>
            </w:pPr>
          </w:p>
        </w:tc>
        <w:tc>
          <w:tcPr>
            <w:tcW w:w="431" w:type="pct"/>
            <w:tcBorders>
              <w:top w:val="nil"/>
              <w:left w:val="nil"/>
              <w:bottom w:val="single" w:color="auto" w:sz="4" w:space="0"/>
              <w:right w:val="single" w:color="auto" w:sz="4" w:space="0"/>
            </w:tcBorders>
            <w:noWrap/>
            <w:vAlign w:val="center"/>
          </w:tcPr>
          <w:p w14:paraId="14B792FB">
            <w:pPr>
              <w:ind w:left="0"/>
              <w:jc w:val="center"/>
              <w:rPr>
                <w:color w:val="000000"/>
                <w:kern w:val="0"/>
                <w:sz w:val="22"/>
                <w:szCs w:val="22"/>
              </w:rPr>
            </w:pPr>
          </w:p>
        </w:tc>
        <w:tc>
          <w:tcPr>
            <w:tcW w:w="431" w:type="pct"/>
            <w:tcBorders>
              <w:top w:val="nil"/>
              <w:left w:val="nil"/>
              <w:bottom w:val="single" w:color="auto" w:sz="4" w:space="0"/>
              <w:right w:val="single" w:color="auto" w:sz="4" w:space="0"/>
            </w:tcBorders>
            <w:noWrap/>
            <w:vAlign w:val="center"/>
          </w:tcPr>
          <w:p w14:paraId="618E75C8">
            <w:pPr>
              <w:ind w:left="0"/>
              <w:jc w:val="center"/>
              <w:rPr>
                <w:color w:val="000000"/>
                <w:kern w:val="0"/>
                <w:sz w:val="22"/>
                <w:szCs w:val="22"/>
              </w:rPr>
            </w:pPr>
          </w:p>
        </w:tc>
        <w:tc>
          <w:tcPr>
            <w:tcW w:w="431" w:type="pct"/>
            <w:tcBorders>
              <w:top w:val="single" w:color="auto" w:sz="4" w:space="0"/>
              <w:left w:val="nil"/>
              <w:bottom w:val="single" w:color="auto" w:sz="4" w:space="0"/>
              <w:right w:val="single" w:color="auto" w:sz="4" w:space="0"/>
            </w:tcBorders>
            <w:vAlign w:val="center"/>
          </w:tcPr>
          <w:p w14:paraId="31496840">
            <w:pPr>
              <w:ind w:left="0"/>
              <w:jc w:val="center"/>
              <w:rPr>
                <w:color w:val="000000"/>
                <w:kern w:val="0"/>
                <w:sz w:val="22"/>
                <w:szCs w:val="22"/>
              </w:rPr>
            </w:pPr>
          </w:p>
        </w:tc>
        <w:tc>
          <w:tcPr>
            <w:tcW w:w="431" w:type="pct"/>
            <w:tcBorders>
              <w:top w:val="single" w:color="auto" w:sz="4" w:space="0"/>
              <w:left w:val="single" w:color="auto" w:sz="4" w:space="0"/>
              <w:bottom w:val="single" w:color="auto" w:sz="4" w:space="0"/>
              <w:right w:val="single" w:color="auto" w:sz="4" w:space="0"/>
            </w:tcBorders>
            <w:noWrap/>
            <w:vAlign w:val="center"/>
          </w:tcPr>
          <w:p w14:paraId="68313CFC">
            <w:pPr>
              <w:ind w:left="0"/>
              <w:jc w:val="center"/>
              <w:rPr>
                <w:color w:val="000000"/>
                <w:kern w:val="0"/>
                <w:sz w:val="22"/>
                <w:szCs w:val="22"/>
              </w:rPr>
            </w:pPr>
          </w:p>
        </w:tc>
        <w:tc>
          <w:tcPr>
            <w:tcW w:w="431" w:type="pct"/>
            <w:tcBorders>
              <w:top w:val="nil"/>
              <w:left w:val="nil"/>
              <w:bottom w:val="single" w:color="auto" w:sz="4" w:space="0"/>
              <w:right w:val="single" w:color="auto" w:sz="4" w:space="0"/>
            </w:tcBorders>
            <w:noWrap/>
            <w:vAlign w:val="center"/>
          </w:tcPr>
          <w:p w14:paraId="43FD724D">
            <w:pPr>
              <w:ind w:left="0"/>
              <w:jc w:val="center"/>
              <w:rPr>
                <w:color w:val="000000"/>
                <w:kern w:val="0"/>
                <w:sz w:val="22"/>
                <w:szCs w:val="22"/>
              </w:rPr>
            </w:pPr>
          </w:p>
        </w:tc>
        <w:tc>
          <w:tcPr>
            <w:tcW w:w="431" w:type="pct"/>
            <w:tcBorders>
              <w:top w:val="nil"/>
              <w:left w:val="nil"/>
              <w:bottom w:val="single" w:color="auto" w:sz="4" w:space="0"/>
              <w:right w:val="single" w:color="auto" w:sz="4" w:space="0"/>
            </w:tcBorders>
            <w:noWrap/>
            <w:vAlign w:val="center"/>
          </w:tcPr>
          <w:p w14:paraId="6D16DD3F">
            <w:pPr>
              <w:ind w:left="0"/>
              <w:jc w:val="center"/>
              <w:rPr>
                <w:color w:val="000000"/>
                <w:kern w:val="0"/>
                <w:sz w:val="22"/>
                <w:szCs w:val="22"/>
              </w:rPr>
            </w:pPr>
          </w:p>
        </w:tc>
        <w:tc>
          <w:tcPr>
            <w:tcW w:w="439" w:type="pct"/>
            <w:tcBorders>
              <w:top w:val="nil"/>
              <w:left w:val="nil"/>
              <w:bottom w:val="single" w:color="auto" w:sz="4" w:space="0"/>
              <w:right w:val="single" w:color="auto" w:sz="4" w:space="0"/>
            </w:tcBorders>
            <w:noWrap/>
            <w:vAlign w:val="center"/>
          </w:tcPr>
          <w:p w14:paraId="21329B98">
            <w:pPr>
              <w:ind w:left="0"/>
              <w:jc w:val="center"/>
              <w:rPr>
                <w:color w:val="000000"/>
                <w:kern w:val="0"/>
                <w:sz w:val="22"/>
                <w:szCs w:val="22"/>
              </w:rPr>
            </w:pPr>
          </w:p>
        </w:tc>
      </w:tr>
      <w:tr w14:paraId="5FE4AC19">
        <w:tblPrEx>
          <w:tblCellMar>
            <w:top w:w="0" w:type="dxa"/>
            <w:left w:w="108" w:type="dxa"/>
            <w:bottom w:w="0" w:type="dxa"/>
            <w:right w:w="108" w:type="dxa"/>
          </w:tblCellMar>
        </w:tblPrEx>
        <w:trPr>
          <w:trHeight w:val="454" w:hRule="atLeast"/>
        </w:trPr>
        <w:tc>
          <w:tcPr>
            <w:tcW w:w="1030" w:type="pct"/>
            <w:tcBorders>
              <w:top w:val="nil"/>
              <w:left w:val="single" w:color="auto" w:sz="4" w:space="0"/>
              <w:bottom w:val="single" w:color="auto" w:sz="4" w:space="0"/>
              <w:right w:val="single" w:color="auto" w:sz="4" w:space="0"/>
            </w:tcBorders>
            <w:noWrap/>
            <w:vAlign w:val="center"/>
          </w:tcPr>
          <w:p w14:paraId="52424A6F">
            <w:pPr>
              <w:ind w:left="0"/>
              <w:jc w:val="center"/>
              <w:rPr>
                <w:rFonts w:hint="eastAsia" w:ascii="宋体" w:hAnsi="宋体" w:cs="宋体"/>
                <w:color w:val="000000"/>
                <w:kern w:val="0"/>
                <w:sz w:val="22"/>
                <w:szCs w:val="22"/>
              </w:rPr>
            </w:pPr>
            <w:r>
              <w:rPr>
                <w:rFonts w:hint="eastAsia" w:ascii="宋体" w:hAnsi="宋体" w:cs="宋体"/>
                <w:color w:val="000000"/>
                <w:kern w:val="0"/>
                <w:sz w:val="22"/>
                <w:szCs w:val="22"/>
              </w:rPr>
              <w:t>示值不确定度</w:t>
            </w:r>
          </w:p>
        </w:tc>
        <w:tc>
          <w:tcPr>
            <w:tcW w:w="347" w:type="pct"/>
            <w:tcBorders>
              <w:top w:val="nil"/>
              <w:left w:val="nil"/>
              <w:bottom w:val="single" w:color="auto" w:sz="4" w:space="0"/>
              <w:right w:val="single" w:color="auto" w:sz="4" w:space="0"/>
            </w:tcBorders>
            <w:noWrap/>
            <w:vAlign w:val="center"/>
          </w:tcPr>
          <w:p w14:paraId="542E5386">
            <w:pPr>
              <w:ind w:left="0"/>
              <w:jc w:val="center"/>
              <w:rPr>
                <w:color w:val="000000"/>
                <w:kern w:val="0"/>
                <w:sz w:val="22"/>
                <w:szCs w:val="22"/>
              </w:rPr>
            </w:pPr>
          </w:p>
        </w:tc>
        <w:tc>
          <w:tcPr>
            <w:tcW w:w="158" w:type="pct"/>
            <w:tcBorders>
              <w:top w:val="nil"/>
              <w:left w:val="nil"/>
              <w:bottom w:val="single" w:color="auto" w:sz="4" w:space="0"/>
              <w:right w:val="single" w:color="auto" w:sz="4" w:space="0"/>
            </w:tcBorders>
            <w:noWrap/>
            <w:vAlign w:val="center"/>
          </w:tcPr>
          <w:p w14:paraId="1047154C">
            <w:pPr>
              <w:ind w:left="0"/>
              <w:jc w:val="center"/>
              <w:rPr>
                <w:color w:val="000000"/>
                <w:kern w:val="0"/>
                <w:sz w:val="22"/>
                <w:szCs w:val="22"/>
              </w:rPr>
            </w:pPr>
          </w:p>
        </w:tc>
        <w:tc>
          <w:tcPr>
            <w:tcW w:w="431" w:type="pct"/>
            <w:tcBorders>
              <w:top w:val="nil"/>
              <w:left w:val="nil"/>
              <w:bottom w:val="single" w:color="auto" w:sz="4" w:space="0"/>
              <w:right w:val="single" w:color="auto" w:sz="4" w:space="0"/>
            </w:tcBorders>
            <w:noWrap/>
            <w:vAlign w:val="center"/>
          </w:tcPr>
          <w:p w14:paraId="1208C161">
            <w:pPr>
              <w:ind w:left="0"/>
              <w:jc w:val="center"/>
              <w:rPr>
                <w:color w:val="000000"/>
                <w:kern w:val="0"/>
                <w:sz w:val="22"/>
                <w:szCs w:val="22"/>
              </w:rPr>
            </w:pPr>
          </w:p>
        </w:tc>
        <w:tc>
          <w:tcPr>
            <w:tcW w:w="431" w:type="pct"/>
            <w:tcBorders>
              <w:top w:val="nil"/>
              <w:left w:val="nil"/>
              <w:bottom w:val="single" w:color="auto" w:sz="4" w:space="0"/>
              <w:right w:val="single" w:color="auto" w:sz="4" w:space="0"/>
            </w:tcBorders>
            <w:noWrap/>
            <w:vAlign w:val="center"/>
          </w:tcPr>
          <w:p w14:paraId="74EF65A0">
            <w:pPr>
              <w:ind w:left="0"/>
              <w:jc w:val="center"/>
              <w:rPr>
                <w:color w:val="000000"/>
                <w:kern w:val="0"/>
                <w:sz w:val="22"/>
                <w:szCs w:val="22"/>
              </w:rPr>
            </w:pPr>
          </w:p>
        </w:tc>
        <w:tc>
          <w:tcPr>
            <w:tcW w:w="431" w:type="pct"/>
            <w:tcBorders>
              <w:top w:val="nil"/>
              <w:left w:val="nil"/>
              <w:bottom w:val="single" w:color="auto" w:sz="4" w:space="0"/>
              <w:right w:val="single" w:color="auto" w:sz="4" w:space="0"/>
            </w:tcBorders>
            <w:noWrap/>
            <w:vAlign w:val="center"/>
          </w:tcPr>
          <w:p w14:paraId="1F1A9E98">
            <w:pPr>
              <w:ind w:left="0"/>
              <w:jc w:val="center"/>
              <w:rPr>
                <w:color w:val="000000"/>
                <w:kern w:val="0"/>
                <w:sz w:val="22"/>
                <w:szCs w:val="22"/>
              </w:rPr>
            </w:pPr>
          </w:p>
        </w:tc>
        <w:tc>
          <w:tcPr>
            <w:tcW w:w="431" w:type="pct"/>
            <w:tcBorders>
              <w:top w:val="single" w:color="auto" w:sz="4" w:space="0"/>
              <w:left w:val="nil"/>
              <w:bottom w:val="single" w:color="auto" w:sz="4" w:space="0"/>
              <w:right w:val="single" w:color="auto" w:sz="4" w:space="0"/>
            </w:tcBorders>
            <w:vAlign w:val="center"/>
          </w:tcPr>
          <w:p w14:paraId="5B42DD3F">
            <w:pPr>
              <w:ind w:left="0"/>
              <w:jc w:val="center"/>
              <w:rPr>
                <w:color w:val="000000"/>
                <w:kern w:val="0"/>
                <w:sz w:val="22"/>
                <w:szCs w:val="22"/>
              </w:rPr>
            </w:pPr>
          </w:p>
        </w:tc>
        <w:tc>
          <w:tcPr>
            <w:tcW w:w="431" w:type="pct"/>
            <w:tcBorders>
              <w:top w:val="single" w:color="auto" w:sz="4" w:space="0"/>
              <w:left w:val="single" w:color="auto" w:sz="4" w:space="0"/>
              <w:bottom w:val="single" w:color="auto" w:sz="4" w:space="0"/>
              <w:right w:val="single" w:color="auto" w:sz="4" w:space="0"/>
            </w:tcBorders>
            <w:noWrap/>
            <w:vAlign w:val="center"/>
          </w:tcPr>
          <w:p w14:paraId="2F2EA449">
            <w:pPr>
              <w:ind w:left="0"/>
              <w:jc w:val="center"/>
              <w:rPr>
                <w:color w:val="000000"/>
                <w:kern w:val="0"/>
                <w:sz w:val="22"/>
                <w:szCs w:val="22"/>
              </w:rPr>
            </w:pPr>
          </w:p>
        </w:tc>
        <w:tc>
          <w:tcPr>
            <w:tcW w:w="431" w:type="pct"/>
            <w:tcBorders>
              <w:top w:val="nil"/>
              <w:left w:val="nil"/>
              <w:bottom w:val="single" w:color="auto" w:sz="4" w:space="0"/>
              <w:right w:val="single" w:color="auto" w:sz="4" w:space="0"/>
            </w:tcBorders>
            <w:noWrap/>
            <w:vAlign w:val="center"/>
          </w:tcPr>
          <w:p w14:paraId="2B615BAA">
            <w:pPr>
              <w:ind w:left="0"/>
              <w:jc w:val="center"/>
              <w:rPr>
                <w:color w:val="000000"/>
                <w:kern w:val="0"/>
                <w:sz w:val="22"/>
                <w:szCs w:val="22"/>
              </w:rPr>
            </w:pPr>
          </w:p>
        </w:tc>
        <w:tc>
          <w:tcPr>
            <w:tcW w:w="431" w:type="pct"/>
            <w:tcBorders>
              <w:top w:val="nil"/>
              <w:left w:val="nil"/>
              <w:bottom w:val="single" w:color="auto" w:sz="4" w:space="0"/>
              <w:right w:val="single" w:color="auto" w:sz="4" w:space="0"/>
            </w:tcBorders>
            <w:noWrap/>
            <w:vAlign w:val="center"/>
          </w:tcPr>
          <w:p w14:paraId="510645C0">
            <w:pPr>
              <w:ind w:left="0"/>
              <w:jc w:val="center"/>
              <w:rPr>
                <w:color w:val="000000"/>
                <w:kern w:val="0"/>
                <w:sz w:val="22"/>
                <w:szCs w:val="22"/>
              </w:rPr>
            </w:pPr>
          </w:p>
        </w:tc>
        <w:tc>
          <w:tcPr>
            <w:tcW w:w="439" w:type="pct"/>
            <w:tcBorders>
              <w:top w:val="nil"/>
              <w:left w:val="nil"/>
              <w:bottom w:val="single" w:color="auto" w:sz="4" w:space="0"/>
              <w:right w:val="single" w:color="auto" w:sz="4" w:space="0"/>
            </w:tcBorders>
            <w:noWrap/>
            <w:vAlign w:val="center"/>
          </w:tcPr>
          <w:p w14:paraId="78AEAB0B">
            <w:pPr>
              <w:ind w:left="0"/>
              <w:jc w:val="center"/>
              <w:rPr>
                <w:color w:val="000000"/>
                <w:kern w:val="0"/>
                <w:sz w:val="22"/>
                <w:szCs w:val="22"/>
              </w:rPr>
            </w:pPr>
          </w:p>
        </w:tc>
      </w:tr>
      <w:tr w14:paraId="62D06B8F">
        <w:tblPrEx>
          <w:tblCellMar>
            <w:top w:w="0" w:type="dxa"/>
            <w:left w:w="108" w:type="dxa"/>
            <w:bottom w:w="0" w:type="dxa"/>
            <w:right w:w="108" w:type="dxa"/>
          </w:tblCellMar>
        </w:tblPrEx>
        <w:trPr>
          <w:trHeight w:val="440" w:hRule="atLeast"/>
        </w:trPr>
        <w:tc>
          <w:tcPr>
            <w:tcW w:w="1030" w:type="pct"/>
            <w:tcBorders>
              <w:top w:val="nil"/>
              <w:left w:val="single" w:color="auto" w:sz="4" w:space="0"/>
              <w:bottom w:val="single" w:color="auto" w:sz="4" w:space="0"/>
              <w:right w:val="single" w:color="auto" w:sz="4" w:space="0"/>
            </w:tcBorders>
            <w:noWrap/>
            <w:vAlign w:val="center"/>
          </w:tcPr>
          <w:p w14:paraId="62AB1286">
            <w:pPr>
              <w:ind w:left="0"/>
              <w:jc w:val="center"/>
              <w:rPr>
                <w:rFonts w:hint="eastAsia" w:ascii="宋体" w:hAnsi="宋体" w:cs="宋体"/>
                <w:color w:val="000000"/>
                <w:kern w:val="0"/>
                <w:sz w:val="22"/>
                <w:szCs w:val="22"/>
              </w:rPr>
            </w:pPr>
            <w:r>
              <w:rPr>
                <w:rFonts w:hint="eastAsia" w:ascii="宋体" w:hAnsi="宋体" w:cs="宋体"/>
                <w:color w:val="000000"/>
                <w:kern w:val="0"/>
                <w:sz w:val="22"/>
                <w:szCs w:val="22"/>
              </w:rPr>
              <w:t>标准砝码不确定度</w:t>
            </w:r>
          </w:p>
        </w:tc>
        <w:tc>
          <w:tcPr>
            <w:tcW w:w="347" w:type="pct"/>
            <w:tcBorders>
              <w:top w:val="nil"/>
              <w:left w:val="nil"/>
              <w:bottom w:val="nil"/>
              <w:right w:val="nil"/>
            </w:tcBorders>
            <w:noWrap/>
            <w:vAlign w:val="center"/>
          </w:tcPr>
          <w:p w14:paraId="57F2778B">
            <w:pPr>
              <w:ind w:left="0"/>
              <w:jc w:val="center"/>
              <w:rPr>
                <w:rFonts w:hint="eastAsia" w:ascii="宋体" w:hAnsi="宋体" w:cs="宋体"/>
                <w:color w:val="000000"/>
                <w:kern w:val="0"/>
                <w:sz w:val="22"/>
                <w:szCs w:val="22"/>
              </w:rPr>
            </w:pPr>
            <w:r>
              <w:rPr>
                <w:rFonts w:ascii="宋体" w:hAnsi="宋体" w:cs="宋体"/>
                <w:color w:val="000000"/>
                <w:kern w:val="0"/>
                <w:sz w:val="22"/>
                <w:szCs w:val="22"/>
              </w:rPr>
              <w:drawing>
                <wp:anchor distT="0" distB="0" distL="114300" distR="114300" simplePos="0" relativeHeight="251695104" behindDoc="0" locked="0" layoutInCell="1" allowOverlap="1">
                  <wp:simplePos x="0" y="0"/>
                  <wp:positionH relativeFrom="column">
                    <wp:posOffset>13970</wp:posOffset>
                  </wp:positionH>
                  <wp:positionV relativeFrom="paragraph">
                    <wp:posOffset>-5715</wp:posOffset>
                  </wp:positionV>
                  <wp:extent cx="469900" cy="228600"/>
                  <wp:effectExtent l="0" t="0" r="6350" b="0"/>
                  <wp:wrapNone/>
                  <wp:docPr id="37"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9"/>
                          <pic:cNvPicPr>
                            <a:picLocks noChangeAspect="1" noChangeArrowheads="1"/>
                          </pic:cNvPicPr>
                        </pic:nvPicPr>
                        <pic:blipFill>
                          <a:blip r:embed="rId90">
                            <a:extLst>
                              <a:ext uri="{28A0092B-C50C-407E-A947-70E740481C1C}">
                                <a14:useLocalDpi xmlns:a14="http://schemas.microsoft.com/office/drawing/2010/main" val="0"/>
                              </a:ext>
                            </a:extLst>
                          </a:blip>
                          <a:srcRect/>
                          <a:stretch>
                            <a:fillRect/>
                          </a:stretch>
                        </pic:blipFill>
                        <pic:spPr>
                          <a:xfrm>
                            <a:off x="0" y="0"/>
                            <a:ext cx="469900" cy="228600"/>
                          </a:xfrm>
                          <a:prstGeom prst="rect">
                            <a:avLst/>
                          </a:prstGeom>
                          <a:noFill/>
                          <a:ln>
                            <a:noFill/>
                          </a:ln>
                        </pic:spPr>
                      </pic:pic>
                    </a:graphicData>
                  </a:graphic>
                </wp:anchor>
              </w:drawing>
            </w:r>
          </w:p>
        </w:tc>
        <w:tc>
          <w:tcPr>
            <w:tcW w:w="158" w:type="pct"/>
            <w:tcBorders>
              <w:top w:val="nil"/>
              <w:left w:val="single" w:color="auto" w:sz="4" w:space="0"/>
              <w:bottom w:val="single" w:color="auto" w:sz="4" w:space="0"/>
              <w:right w:val="single" w:color="auto" w:sz="4" w:space="0"/>
            </w:tcBorders>
            <w:noWrap/>
            <w:vAlign w:val="center"/>
          </w:tcPr>
          <w:p w14:paraId="0BE0F9AC">
            <w:pPr>
              <w:ind w:left="0"/>
              <w:jc w:val="center"/>
              <w:rPr>
                <w:color w:val="000000"/>
                <w:kern w:val="0"/>
                <w:sz w:val="22"/>
                <w:szCs w:val="22"/>
              </w:rPr>
            </w:pPr>
          </w:p>
        </w:tc>
        <w:tc>
          <w:tcPr>
            <w:tcW w:w="3462" w:type="pct"/>
            <w:gridSpan w:val="8"/>
            <w:tcBorders>
              <w:top w:val="single" w:color="auto" w:sz="4" w:space="0"/>
              <w:left w:val="nil"/>
              <w:bottom w:val="single" w:color="auto" w:sz="4" w:space="0"/>
              <w:right w:val="single" w:color="auto" w:sz="4" w:space="0"/>
            </w:tcBorders>
            <w:vAlign w:val="center"/>
          </w:tcPr>
          <w:p w14:paraId="50D6FDB8">
            <w:pPr>
              <w:ind w:left="0"/>
              <w:jc w:val="center"/>
              <w:rPr>
                <w:color w:val="000000"/>
                <w:kern w:val="0"/>
                <w:sz w:val="22"/>
                <w:szCs w:val="22"/>
              </w:rPr>
            </w:pPr>
          </w:p>
        </w:tc>
      </w:tr>
      <w:tr w14:paraId="0D0A6D78">
        <w:tblPrEx>
          <w:tblCellMar>
            <w:top w:w="0" w:type="dxa"/>
            <w:left w:w="108" w:type="dxa"/>
            <w:bottom w:w="0" w:type="dxa"/>
            <w:right w:w="108" w:type="dxa"/>
          </w:tblCellMar>
        </w:tblPrEx>
        <w:trPr>
          <w:trHeight w:val="454" w:hRule="atLeast"/>
        </w:trPr>
        <w:tc>
          <w:tcPr>
            <w:tcW w:w="1030" w:type="pct"/>
            <w:tcBorders>
              <w:top w:val="nil"/>
              <w:left w:val="single" w:color="auto" w:sz="4" w:space="0"/>
              <w:bottom w:val="single" w:color="auto" w:sz="4" w:space="0"/>
              <w:right w:val="single" w:color="auto" w:sz="4" w:space="0"/>
            </w:tcBorders>
            <w:noWrap/>
            <w:vAlign w:val="center"/>
          </w:tcPr>
          <w:p w14:paraId="70BB467B">
            <w:pPr>
              <w:ind w:left="0"/>
              <w:jc w:val="center"/>
              <w:rPr>
                <w:rFonts w:hint="eastAsia" w:ascii="宋体" w:hAnsi="宋体" w:cs="宋体"/>
                <w:color w:val="000000"/>
                <w:kern w:val="0"/>
                <w:sz w:val="22"/>
                <w:szCs w:val="22"/>
              </w:rPr>
            </w:pPr>
            <w:r>
              <w:rPr>
                <w:rFonts w:hint="eastAsia" w:ascii="宋体" w:hAnsi="宋体" w:cs="宋体"/>
                <w:color w:val="000000"/>
                <w:kern w:val="0"/>
                <w:sz w:val="22"/>
                <w:szCs w:val="22"/>
              </w:rPr>
              <w:t>试验载荷的不确定度</w:t>
            </w:r>
          </w:p>
        </w:tc>
        <w:tc>
          <w:tcPr>
            <w:tcW w:w="347" w:type="pct"/>
            <w:tcBorders>
              <w:top w:val="single" w:color="auto" w:sz="4" w:space="0"/>
              <w:left w:val="nil"/>
              <w:bottom w:val="single" w:color="auto" w:sz="4" w:space="0"/>
              <w:right w:val="single" w:color="auto" w:sz="4" w:space="0"/>
            </w:tcBorders>
            <w:noWrap/>
            <w:vAlign w:val="center"/>
          </w:tcPr>
          <w:p w14:paraId="5B8BCE59">
            <w:pPr>
              <w:ind w:left="0"/>
              <w:jc w:val="center"/>
              <w:rPr>
                <w:color w:val="000000"/>
                <w:kern w:val="0"/>
                <w:sz w:val="22"/>
                <w:szCs w:val="22"/>
              </w:rPr>
            </w:pPr>
            <w:r>
              <w:rPr>
                <w:color w:val="000000"/>
                <w:kern w:val="0"/>
                <w:sz w:val="22"/>
                <w:szCs w:val="22"/>
              </w:rPr>
              <w:drawing>
                <wp:anchor distT="0" distB="0" distL="114300" distR="114300" simplePos="0" relativeHeight="251675648" behindDoc="0" locked="0" layoutInCell="1" allowOverlap="1">
                  <wp:simplePos x="0" y="0"/>
                  <wp:positionH relativeFrom="column">
                    <wp:posOffset>-3810</wp:posOffset>
                  </wp:positionH>
                  <wp:positionV relativeFrom="paragraph">
                    <wp:posOffset>-10160</wp:posOffset>
                  </wp:positionV>
                  <wp:extent cx="469900" cy="228600"/>
                  <wp:effectExtent l="0" t="0" r="0" b="0"/>
                  <wp:wrapNone/>
                  <wp:docPr id="10"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8"/>
                          <pic:cNvPicPr>
                            <a:picLocks noChangeAspect="1" noChangeArrowheads="1"/>
                          </pic:cNvPicPr>
                        </pic:nvPicPr>
                        <pic:blipFill>
                          <a:blip r:embed="rId91">
                            <a:extLst>
                              <a:ext uri="{28A0092B-C50C-407E-A947-70E740481C1C}">
                                <a14:useLocalDpi xmlns:a14="http://schemas.microsoft.com/office/drawing/2010/main" val="0"/>
                              </a:ext>
                            </a:extLst>
                          </a:blip>
                          <a:srcRect/>
                          <a:stretch>
                            <a:fillRect/>
                          </a:stretch>
                        </pic:blipFill>
                        <pic:spPr>
                          <a:xfrm>
                            <a:off x="0" y="0"/>
                            <a:ext cx="469900" cy="228600"/>
                          </a:xfrm>
                          <a:prstGeom prst="rect">
                            <a:avLst/>
                          </a:prstGeom>
                          <a:noFill/>
                          <a:ln>
                            <a:noFill/>
                          </a:ln>
                        </pic:spPr>
                      </pic:pic>
                    </a:graphicData>
                  </a:graphic>
                </wp:anchor>
              </w:drawing>
            </w:r>
          </w:p>
        </w:tc>
        <w:tc>
          <w:tcPr>
            <w:tcW w:w="158" w:type="pct"/>
            <w:tcBorders>
              <w:top w:val="nil"/>
              <w:left w:val="nil"/>
              <w:bottom w:val="single" w:color="auto" w:sz="4" w:space="0"/>
              <w:right w:val="single" w:color="auto" w:sz="4" w:space="0"/>
            </w:tcBorders>
            <w:noWrap/>
            <w:vAlign w:val="center"/>
          </w:tcPr>
          <w:p w14:paraId="1D781B4E">
            <w:pPr>
              <w:ind w:left="0"/>
              <w:jc w:val="center"/>
              <w:rPr>
                <w:color w:val="000000"/>
                <w:kern w:val="0"/>
                <w:sz w:val="22"/>
                <w:szCs w:val="22"/>
              </w:rPr>
            </w:pPr>
          </w:p>
        </w:tc>
        <w:tc>
          <w:tcPr>
            <w:tcW w:w="431" w:type="pct"/>
            <w:tcBorders>
              <w:top w:val="single" w:color="auto" w:sz="4" w:space="0"/>
              <w:left w:val="nil"/>
              <w:bottom w:val="single" w:color="auto" w:sz="4" w:space="0"/>
              <w:right w:val="single" w:color="auto" w:sz="4" w:space="0"/>
            </w:tcBorders>
            <w:noWrap/>
            <w:vAlign w:val="center"/>
          </w:tcPr>
          <w:p w14:paraId="23BC3330">
            <w:pPr>
              <w:ind w:left="0"/>
              <w:jc w:val="center"/>
              <w:rPr>
                <w:color w:val="000000"/>
                <w:kern w:val="0"/>
                <w:sz w:val="22"/>
                <w:szCs w:val="22"/>
              </w:rPr>
            </w:pPr>
          </w:p>
        </w:tc>
        <w:tc>
          <w:tcPr>
            <w:tcW w:w="431" w:type="pct"/>
            <w:tcBorders>
              <w:top w:val="single" w:color="auto" w:sz="4" w:space="0"/>
              <w:left w:val="nil"/>
              <w:bottom w:val="single" w:color="auto" w:sz="4" w:space="0"/>
              <w:right w:val="single" w:color="auto" w:sz="4" w:space="0"/>
            </w:tcBorders>
            <w:noWrap/>
            <w:vAlign w:val="center"/>
          </w:tcPr>
          <w:p w14:paraId="06048697">
            <w:pPr>
              <w:ind w:left="0"/>
              <w:jc w:val="center"/>
              <w:rPr>
                <w:kern w:val="0"/>
                <w:sz w:val="22"/>
                <w:szCs w:val="22"/>
              </w:rPr>
            </w:pPr>
          </w:p>
        </w:tc>
        <w:tc>
          <w:tcPr>
            <w:tcW w:w="431" w:type="pct"/>
            <w:tcBorders>
              <w:top w:val="single" w:color="auto" w:sz="4" w:space="0"/>
              <w:left w:val="nil"/>
              <w:bottom w:val="single" w:color="auto" w:sz="4" w:space="0"/>
              <w:right w:val="single" w:color="auto" w:sz="4" w:space="0"/>
            </w:tcBorders>
            <w:noWrap/>
            <w:vAlign w:val="center"/>
          </w:tcPr>
          <w:p w14:paraId="76AC13A3">
            <w:pPr>
              <w:ind w:left="0"/>
              <w:jc w:val="center"/>
              <w:rPr>
                <w:kern w:val="0"/>
                <w:sz w:val="22"/>
                <w:szCs w:val="22"/>
              </w:rPr>
            </w:pPr>
          </w:p>
        </w:tc>
        <w:tc>
          <w:tcPr>
            <w:tcW w:w="431" w:type="pct"/>
            <w:tcBorders>
              <w:top w:val="single" w:color="auto" w:sz="4" w:space="0"/>
              <w:left w:val="nil"/>
              <w:bottom w:val="single" w:color="auto" w:sz="4" w:space="0"/>
              <w:right w:val="single" w:color="auto" w:sz="4" w:space="0"/>
            </w:tcBorders>
            <w:vAlign w:val="center"/>
          </w:tcPr>
          <w:p w14:paraId="427A4AAD">
            <w:pPr>
              <w:ind w:left="0"/>
              <w:jc w:val="center"/>
              <w:rPr>
                <w:kern w:val="0"/>
                <w:sz w:val="22"/>
                <w:szCs w:val="22"/>
              </w:rPr>
            </w:pPr>
          </w:p>
        </w:tc>
        <w:tc>
          <w:tcPr>
            <w:tcW w:w="431" w:type="pct"/>
            <w:tcBorders>
              <w:top w:val="single" w:color="auto" w:sz="4" w:space="0"/>
              <w:left w:val="single" w:color="auto" w:sz="4" w:space="0"/>
              <w:bottom w:val="single" w:color="auto" w:sz="4" w:space="0"/>
              <w:right w:val="single" w:color="auto" w:sz="4" w:space="0"/>
            </w:tcBorders>
            <w:noWrap/>
            <w:vAlign w:val="center"/>
          </w:tcPr>
          <w:p w14:paraId="688FAF6E">
            <w:pPr>
              <w:ind w:left="0"/>
              <w:jc w:val="center"/>
              <w:rPr>
                <w:kern w:val="0"/>
                <w:sz w:val="22"/>
                <w:szCs w:val="22"/>
              </w:rPr>
            </w:pPr>
          </w:p>
        </w:tc>
        <w:tc>
          <w:tcPr>
            <w:tcW w:w="431" w:type="pct"/>
            <w:tcBorders>
              <w:top w:val="single" w:color="auto" w:sz="4" w:space="0"/>
              <w:left w:val="nil"/>
              <w:bottom w:val="single" w:color="auto" w:sz="4" w:space="0"/>
              <w:right w:val="single" w:color="auto" w:sz="4" w:space="0"/>
            </w:tcBorders>
            <w:noWrap/>
            <w:vAlign w:val="center"/>
          </w:tcPr>
          <w:p w14:paraId="6B49EDF8">
            <w:pPr>
              <w:ind w:left="0"/>
              <w:jc w:val="center"/>
              <w:rPr>
                <w:kern w:val="0"/>
                <w:sz w:val="22"/>
                <w:szCs w:val="22"/>
              </w:rPr>
            </w:pPr>
          </w:p>
        </w:tc>
        <w:tc>
          <w:tcPr>
            <w:tcW w:w="431" w:type="pct"/>
            <w:tcBorders>
              <w:top w:val="single" w:color="auto" w:sz="4" w:space="0"/>
              <w:left w:val="nil"/>
              <w:bottom w:val="single" w:color="auto" w:sz="4" w:space="0"/>
              <w:right w:val="single" w:color="auto" w:sz="4" w:space="0"/>
            </w:tcBorders>
            <w:noWrap/>
            <w:vAlign w:val="center"/>
          </w:tcPr>
          <w:p w14:paraId="0E3B2939">
            <w:pPr>
              <w:ind w:left="0"/>
              <w:jc w:val="center"/>
              <w:rPr>
                <w:kern w:val="0"/>
                <w:sz w:val="22"/>
                <w:szCs w:val="22"/>
              </w:rPr>
            </w:pPr>
          </w:p>
        </w:tc>
        <w:tc>
          <w:tcPr>
            <w:tcW w:w="439" w:type="pct"/>
            <w:tcBorders>
              <w:top w:val="single" w:color="auto" w:sz="4" w:space="0"/>
              <w:left w:val="nil"/>
              <w:bottom w:val="single" w:color="auto" w:sz="4" w:space="0"/>
              <w:right w:val="single" w:color="auto" w:sz="4" w:space="0"/>
            </w:tcBorders>
            <w:noWrap/>
            <w:vAlign w:val="center"/>
          </w:tcPr>
          <w:p w14:paraId="0EA9395D">
            <w:pPr>
              <w:ind w:left="0"/>
              <w:jc w:val="center"/>
              <w:rPr>
                <w:kern w:val="0"/>
                <w:sz w:val="22"/>
                <w:szCs w:val="22"/>
              </w:rPr>
            </w:pPr>
          </w:p>
        </w:tc>
      </w:tr>
      <w:tr w14:paraId="1579B574">
        <w:tblPrEx>
          <w:tblCellMar>
            <w:top w:w="0" w:type="dxa"/>
            <w:left w:w="108" w:type="dxa"/>
            <w:bottom w:w="0" w:type="dxa"/>
            <w:right w:w="108" w:type="dxa"/>
          </w:tblCellMar>
        </w:tblPrEx>
        <w:trPr>
          <w:trHeight w:val="454" w:hRule="atLeast"/>
        </w:trPr>
        <w:tc>
          <w:tcPr>
            <w:tcW w:w="1030" w:type="pct"/>
            <w:tcBorders>
              <w:top w:val="nil"/>
              <w:left w:val="single" w:color="auto" w:sz="4" w:space="0"/>
              <w:bottom w:val="single" w:color="auto" w:sz="4" w:space="0"/>
              <w:right w:val="single" w:color="auto" w:sz="4" w:space="0"/>
            </w:tcBorders>
            <w:noWrap/>
            <w:vAlign w:val="center"/>
          </w:tcPr>
          <w:p w14:paraId="64164F69">
            <w:pPr>
              <w:ind w:left="0"/>
              <w:jc w:val="center"/>
              <w:rPr>
                <w:rFonts w:hint="eastAsia" w:ascii="宋体" w:hAnsi="宋体" w:cs="宋体"/>
                <w:color w:val="000000"/>
                <w:kern w:val="0"/>
                <w:sz w:val="22"/>
                <w:szCs w:val="22"/>
              </w:rPr>
            </w:pPr>
            <w:r>
              <w:rPr>
                <w:rFonts w:hint="eastAsia" w:ascii="宋体" w:hAnsi="宋体" w:cs="宋体"/>
                <w:color w:val="000000"/>
                <w:kern w:val="0"/>
                <w:sz w:val="22"/>
                <w:szCs w:val="22"/>
              </w:rPr>
              <w:t>标准误差不确定度</w:t>
            </w:r>
          </w:p>
        </w:tc>
        <w:tc>
          <w:tcPr>
            <w:tcW w:w="347" w:type="pct"/>
            <w:tcBorders>
              <w:top w:val="nil"/>
              <w:left w:val="nil"/>
              <w:bottom w:val="nil"/>
              <w:right w:val="nil"/>
            </w:tcBorders>
            <w:noWrap/>
            <w:vAlign w:val="center"/>
          </w:tcPr>
          <w:p w14:paraId="46F15F89">
            <w:pPr>
              <w:tabs>
                <w:tab w:val="left" w:pos="720"/>
              </w:tabs>
              <w:ind w:left="0"/>
              <w:jc w:val="center"/>
              <w:rPr>
                <w:rFonts w:hint="eastAsia" w:ascii="宋体" w:hAnsi="宋体" w:cs="宋体"/>
                <w:color w:val="000000"/>
                <w:kern w:val="0"/>
                <w:sz w:val="22"/>
                <w:szCs w:val="22"/>
              </w:rPr>
            </w:pPr>
            <w:r>
              <w:rPr>
                <w:rFonts w:ascii="宋体" w:hAnsi="宋体" w:cs="宋体"/>
                <w:color w:val="000000"/>
                <w:kern w:val="0"/>
                <w:sz w:val="22"/>
                <w:szCs w:val="22"/>
              </w:rPr>
              <w:drawing>
                <wp:anchor distT="0" distB="0" distL="114300" distR="114300" simplePos="0" relativeHeight="251676672" behindDoc="0" locked="0" layoutInCell="1" allowOverlap="1">
                  <wp:simplePos x="0" y="0"/>
                  <wp:positionH relativeFrom="column">
                    <wp:posOffset>20955</wp:posOffset>
                  </wp:positionH>
                  <wp:positionV relativeFrom="paragraph">
                    <wp:posOffset>-16510</wp:posOffset>
                  </wp:positionV>
                  <wp:extent cx="387350" cy="228600"/>
                  <wp:effectExtent l="0" t="0" r="12700" b="0"/>
                  <wp:wrapNone/>
                  <wp:docPr id="11"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7"/>
                          <pic:cNvPicPr>
                            <a:picLocks noChangeAspect="1" noChangeArrowheads="1"/>
                          </pic:cNvPicPr>
                        </pic:nvPicPr>
                        <pic:blipFill>
                          <a:blip r:embed="rId92">
                            <a:extLst>
                              <a:ext uri="{28A0092B-C50C-407E-A947-70E740481C1C}">
                                <a14:useLocalDpi xmlns:a14="http://schemas.microsoft.com/office/drawing/2010/main" val="0"/>
                              </a:ext>
                            </a:extLst>
                          </a:blip>
                          <a:srcRect/>
                          <a:stretch>
                            <a:fillRect/>
                          </a:stretch>
                        </pic:blipFill>
                        <pic:spPr>
                          <a:xfrm>
                            <a:off x="0" y="0"/>
                            <a:ext cx="387350" cy="228600"/>
                          </a:xfrm>
                          <a:prstGeom prst="rect">
                            <a:avLst/>
                          </a:prstGeom>
                          <a:noFill/>
                          <a:ln>
                            <a:noFill/>
                          </a:ln>
                        </pic:spPr>
                      </pic:pic>
                    </a:graphicData>
                  </a:graphic>
                </wp:anchor>
              </w:drawing>
            </w:r>
          </w:p>
        </w:tc>
        <w:tc>
          <w:tcPr>
            <w:tcW w:w="158" w:type="pct"/>
            <w:tcBorders>
              <w:top w:val="nil"/>
              <w:left w:val="single" w:color="auto" w:sz="4" w:space="0"/>
              <w:bottom w:val="single" w:color="auto" w:sz="4" w:space="0"/>
              <w:right w:val="single" w:color="auto" w:sz="4" w:space="0"/>
            </w:tcBorders>
            <w:noWrap/>
            <w:vAlign w:val="center"/>
          </w:tcPr>
          <w:p w14:paraId="34EAF64B">
            <w:pPr>
              <w:ind w:left="0"/>
              <w:jc w:val="center"/>
              <w:rPr>
                <w:color w:val="000000"/>
                <w:kern w:val="0"/>
                <w:sz w:val="22"/>
                <w:szCs w:val="22"/>
              </w:rPr>
            </w:pPr>
          </w:p>
        </w:tc>
        <w:tc>
          <w:tcPr>
            <w:tcW w:w="431" w:type="pct"/>
            <w:tcBorders>
              <w:top w:val="nil"/>
              <w:left w:val="nil"/>
              <w:bottom w:val="single" w:color="auto" w:sz="4" w:space="0"/>
              <w:right w:val="single" w:color="auto" w:sz="4" w:space="0"/>
            </w:tcBorders>
            <w:noWrap/>
            <w:vAlign w:val="center"/>
          </w:tcPr>
          <w:p w14:paraId="34F767D3">
            <w:pPr>
              <w:ind w:left="0"/>
              <w:jc w:val="center"/>
              <w:rPr>
                <w:color w:val="000000"/>
                <w:kern w:val="0"/>
                <w:sz w:val="22"/>
                <w:szCs w:val="22"/>
              </w:rPr>
            </w:pPr>
          </w:p>
        </w:tc>
        <w:tc>
          <w:tcPr>
            <w:tcW w:w="431" w:type="pct"/>
            <w:tcBorders>
              <w:top w:val="nil"/>
              <w:left w:val="nil"/>
              <w:bottom w:val="single" w:color="auto" w:sz="4" w:space="0"/>
              <w:right w:val="single" w:color="auto" w:sz="4" w:space="0"/>
            </w:tcBorders>
            <w:noWrap/>
            <w:vAlign w:val="center"/>
          </w:tcPr>
          <w:p w14:paraId="1256D58F">
            <w:pPr>
              <w:ind w:left="0"/>
              <w:jc w:val="center"/>
              <w:rPr>
                <w:color w:val="000000"/>
                <w:kern w:val="0"/>
                <w:sz w:val="22"/>
                <w:szCs w:val="22"/>
              </w:rPr>
            </w:pPr>
          </w:p>
        </w:tc>
        <w:tc>
          <w:tcPr>
            <w:tcW w:w="431" w:type="pct"/>
            <w:tcBorders>
              <w:top w:val="nil"/>
              <w:left w:val="nil"/>
              <w:bottom w:val="single" w:color="auto" w:sz="4" w:space="0"/>
              <w:right w:val="single" w:color="auto" w:sz="4" w:space="0"/>
            </w:tcBorders>
            <w:noWrap/>
            <w:vAlign w:val="center"/>
          </w:tcPr>
          <w:p w14:paraId="284B8280">
            <w:pPr>
              <w:ind w:left="0"/>
              <w:jc w:val="center"/>
              <w:rPr>
                <w:color w:val="000000"/>
                <w:kern w:val="0"/>
                <w:sz w:val="22"/>
                <w:szCs w:val="22"/>
              </w:rPr>
            </w:pPr>
          </w:p>
        </w:tc>
        <w:tc>
          <w:tcPr>
            <w:tcW w:w="431" w:type="pct"/>
            <w:tcBorders>
              <w:top w:val="single" w:color="auto" w:sz="4" w:space="0"/>
              <w:left w:val="nil"/>
              <w:bottom w:val="single" w:color="auto" w:sz="4" w:space="0"/>
              <w:right w:val="single" w:color="auto" w:sz="4" w:space="0"/>
            </w:tcBorders>
            <w:vAlign w:val="center"/>
          </w:tcPr>
          <w:p w14:paraId="73DA4123">
            <w:pPr>
              <w:ind w:left="0"/>
              <w:jc w:val="center"/>
              <w:rPr>
                <w:color w:val="000000"/>
                <w:kern w:val="0"/>
                <w:sz w:val="22"/>
                <w:szCs w:val="22"/>
              </w:rPr>
            </w:pPr>
          </w:p>
        </w:tc>
        <w:tc>
          <w:tcPr>
            <w:tcW w:w="431" w:type="pct"/>
            <w:tcBorders>
              <w:top w:val="single" w:color="auto" w:sz="4" w:space="0"/>
              <w:left w:val="single" w:color="auto" w:sz="4" w:space="0"/>
              <w:bottom w:val="single" w:color="auto" w:sz="4" w:space="0"/>
              <w:right w:val="single" w:color="auto" w:sz="4" w:space="0"/>
            </w:tcBorders>
            <w:noWrap/>
            <w:vAlign w:val="center"/>
          </w:tcPr>
          <w:p w14:paraId="1701D759">
            <w:pPr>
              <w:ind w:left="0"/>
              <w:jc w:val="center"/>
              <w:rPr>
                <w:color w:val="000000"/>
                <w:kern w:val="0"/>
                <w:sz w:val="22"/>
                <w:szCs w:val="22"/>
              </w:rPr>
            </w:pPr>
          </w:p>
        </w:tc>
        <w:tc>
          <w:tcPr>
            <w:tcW w:w="431" w:type="pct"/>
            <w:tcBorders>
              <w:top w:val="nil"/>
              <w:left w:val="nil"/>
              <w:bottom w:val="single" w:color="auto" w:sz="4" w:space="0"/>
              <w:right w:val="single" w:color="auto" w:sz="4" w:space="0"/>
            </w:tcBorders>
            <w:noWrap/>
            <w:vAlign w:val="center"/>
          </w:tcPr>
          <w:p w14:paraId="3CAF4015">
            <w:pPr>
              <w:ind w:left="0"/>
              <w:jc w:val="center"/>
              <w:rPr>
                <w:color w:val="000000"/>
                <w:kern w:val="0"/>
                <w:sz w:val="22"/>
                <w:szCs w:val="22"/>
              </w:rPr>
            </w:pPr>
          </w:p>
        </w:tc>
        <w:tc>
          <w:tcPr>
            <w:tcW w:w="431" w:type="pct"/>
            <w:tcBorders>
              <w:top w:val="nil"/>
              <w:left w:val="nil"/>
              <w:bottom w:val="single" w:color="auto" w:sz="4" w:space="0"/>
              <w:right w:val="single" w:color="auto" w:sz="4" w:space="0"/>
            </w:tcBorders>
            <w:noWrap/>
            <w:vAlign w:val="center"/>
          </w:tcPr>
          <w:p w14:paraId="2A3A3BCC">
            <w:pPr>
              <w:ind w:left="0"/>
              <w:jc w:val="center"/>
              <w:rPr>
                <w:color w:val="000000"/>
                <w:kern w:val="0"/>
                <w:sz w:val="22"/>
                <w:szCs w:val="22"/>
              </w:rPr>
            </w:pPr>
          </w:p>
        </w:tc>
        <w:tc>
          <w:tcPr>
            <w:tcW w:w="439" w:type="pct"/>
            <w:tcBorders>
              <w:top w:val="nil"/>
              <w:left w:val="nil"/>
              <w:bottom w:val="single" w:color="auto" w:sz="4" w:space="0"/>
              <w:right w:val="single" w:color="auto" w:sz="4" w:space="0"/>
            </w:tcBorders>
            <w:noWrap/>
            <w:vAlign w:val="center"/>
          </w:tcPr>
          <w:p w14:paraId="1714D69B">
            <w:pPr>
              <w:ind w:left="0"/>
              <w:jc w:val="center"/>
              <w:rPr>
                <w:color w:val="000000"/>
                <w:kern w:val="0"/>
                <w:sz w:val="22"/>
                <w:szCs w:val="22"/>
              </w:rPr>
            </w:pPr>
          </w:p>
        </w:tc>
      </w:tr>
      <w:tr w14:paraId="48FFF842">
        <w:tblPrEx>
          <w:tblCellMar>
            <w:top w:w="0" w:type="dxa"/>
            <w:left w:w="108" w:type="dxa"/>
            <w:bottom w:w="0" w:type="dxa"/>
            <w:right w:w="108" w:type="dxa"/>
          </w:tblCellMar>
        </w:tblPrEx>
        <w:trPr>
          <w:trHeight w:val="454" w:hRule="atLeast"/>
        </w:trPr>
        <w:tc>
          <w:tcPr>
            <w:tcW w:w="1030" w:type="pct"/>
            <w:tcBorders>
              <w:top w:val="nil"/>
              <w:left w:val="single" w:color="auto" w:sz="4" w:space="0"/>
              <w:bottom w:val="single" w:color="auto" w:sz="4" w:space="0"/>
              <w:right w:val="single" w:color="auto" w:sz="4" w:space="0"/>
            </w:tcBorders>
            <w:noWrap/>
            <w:vAlign w:val="center"/>
          </w:tcPr>
          <w:p w14:paraId="7932DF01">
            <w:pPr>
              <w:ind w:left="0"/>
              <w:jc w:val="center"/>
              <w:rPr>
                <w:i/>
                <w:iCs/>
                <w:color w:val="000000"/>
                <w:kern w:val="0"/>
                <w:sz w:val="22"/>
                <w:szCs w:val="22"/>
              </w:rPr>
            </w:pPr>
            <w:r>
              <w:rPr>
                <w:i/>
                <w:iCs/>
                <w:color w:val="000000"/>
                <w:kern w:val="0"/>
                <w:sz w:val="22"/>
                <w:szCs w:val="22"/>
              </w:rPr>
              <w:t>k</w:t>
            </w:r>
          </w:p>
        </w:tc>
        <w:tc>
          <w:tcPr>
            <w:tcW w:w="347" w:type="pct"/>
            <w:tcBorders>
              <w:top w:val="single" w:color="auto" w:sz="4" w:space="0"/>
              <w:left w:val="nil"/>
              <w:bottom w:val="single" w:color="auto" w:sz="4" w:space="0"/>
              <w:right w:val="single" w:color="auto" w:sz="4" w:space="0"/>
            </w:tcBorders>
            <w:noWrap/>
            <w:vAlign w:val="center"/>
          </w:tcPr>
          <w:p w14:paraId="2FA22E96">
            <w:pPr>
              <w:ind w:left="0"/>
              <w:jc w:val="center"/>
              <w:rPr>
                <w:color w:val="000000"/>
                <w:kern w:val="0"/>
                <w:sz w:val="22"/>
                <w:szCs w:val="22"/>
              </w:rPr>
            </w:pPr>
          </w:p>
        </w:tc>
        <w:tc>
          <w:tcPr>
            <w:tcW w:w="158" w:type="pct"/>
            <w:tcBorders>
              <w:top w:val="nil"/>
              <w:left w:val="nil"/>
              <w:bottom w:val="single" w:color="auto" w:sz="4" w:space="0"/>
              <w:right w:val="single" w:color="auto" w:sz="4" w:space="0"/>
            </w:tcBorders>
            <w:noWrap/>
            <w:vAlign w:val="center"/>
          </w:tcPr>
          <w:p w14:paraId="7BE208D4">
            <w:pPr>
              <w:ind w:left="0"/>
              <w:jc w:val="center"/>
              <w:rPr>
                <w:color w:val="000000"/>
                <w:kern w:val="0"/>
                <w:sz w:val="22"/>
                <w:szCs w:val="22"/>
              </w:rPr>
            </w:pPr>
          </w:p>
        </w:tc>
        <w:tc>
          <w:tcPr>
            <w:tcW w:w="431" w:type="pct"/>
            <w:tcBorders>
              <w:top w:val="nil"/>
              <w:left w:val="nil"/>
              <w:bottom w:val="single" w:color="auto" w:sz="4" w:space="0"/>
              <w:right w:val="single" w:color="auto" w:sz="4" w:space="0"/>
            </w:tcBorders>
            <w:noWrap/>
            <w:vAlign w:val="center"/>
          </w:tcPr>
          <w:p w14:paraId="2979B324">
            <w:pPr>
              <w:ind w:left="0"/>
              <w:jc w:val="center"/>
              <w:rPr>
                <w:color w:val="000000"/>
                <w:kern w:val="0"/>
                <w:sz w:val="22"/>
                <w:szCs w:val="22"/>
              </w:rPr>
            </w:pPr>
          </w:p>
        </w:tc>
        <w:tc>
          <w:tcPr>
            <w:tcW w:w="431" w:type="pct"/>
            <w:tcBorders>
              <w:top w:val="nil"/>
              <w:left w:val="nil"/>
              <w:bottom w:val="single" w:color="auto" w:sz="4" w:space="0"/>
              <w:right w:val="single" w:color="auto" w:sz="4" w:space="0"/>
            </w:tcBorders>
            <w:noWrap/>
            <w:vAlign w:val="center"/>
          </w:tcPr>
          <w:p w14:paraId="3CDA24F3">
            <w:pPr>
              <w:ind w:left="0"/>
              <w:jc w:val="center"/>
              <w:rPr>
                <w:kern w:val="0"/>
                <w:sz w:val="22"/>
                <w:szCs w:val="22"/>
              </w:rPr>
            </w:pPr>
          </w:p>
        </w:tc>
        <w:tc>
          <w:tcPr>
            <w:tcW w:w="431" w:type="pct"/>
            <w:tcBorders>
              <w:top w:val="nil"/>
              <w:left w:val="nil"/>
              <w:bottom w:val="single" w:color="auto" w:sz="4" w:space="0"/>
              <w:right w:val="single" w:color="auto" w:sz="4" w:space="0"/>
            </w:tcBorders>
            <w:noWrap/>
            <w:vAlign w:val="center"/>
          </w:tcPr>
          <w:p w14:paraId="17C852F3">
            <w:pPr>
              <w:ind w:left="0"/>
              <w:jc w:val="center"/>
              <w:rPr>
                <w:color w:val="000000"/>
                <w:kern w:val="0"/>
                <w:sz w:val="22"/>
                <w:szCs w:val="22"/>
              </w:rPr>
            </w:pPr>
          </w:p>
        </w:tc>
        <w:tc>
          <w:tcPr>
            <w:tcW w:w="431" w:type="pct"/>
            <w:tcBorders>
              <w:top w:val="single" w:color="auto" w:sz="4" w:space="0"/>
              <w:left w:val="nil"/>
              <w:bottom w:val="single" w:color="auto" w:sz="4" w:space="0"/>
              <w:right w:val="single" w:color="auto" w:sz="4" w:space="0"/>
            </w:tcBorders>
            <w:vAlign w:val="center"/>
          </w:tcPr>
          <w:p w14:paraId="7B22F17E">
            <w:pPr>
              <w:ind w:left="0"/>
              <w:jc w:val="center"/>
              <w:rPr>
                <w:kern w:val="0"/>
                <w:sz w:val="22"/>
                <w:szCs w:val="22"/>
              </w:rPr>
            </w:pPr>
          </w:p>
        </w:tc>
        <w:tc>
          <w:tcPr>
            <w:tcW w:w="431" w:type="pct"/>
            <w:tcBorders>
              <w:top w:val="single" w:color="auto" w:sz="4" w:space="0"/>
              <w:left w:val="single" w:color="auto" w:sz="4" w:space="0"/>
              <w:bottom w:val="single" w:color="auto" w:sz="4" w:space="0"/>
              <w:right w:val="single" w:color="auto" w:sz="4" w:space="0"/>
            </w:tcBorders>
            <w:noWrap/>
            <w:vAlign w:val="center"/>
          </w:tcPr>
          <w:p w14:paraId="069757FA">
            <w:pPr>
              <w:ind w:left="0"/>
              <w:jc w:val="center"/>
              <w:rPr>
                <w:kern w:val="0"/>
                <w:sz w:val="22"/>
                <w:szCs w:val="22"/>
              </w:rPr>
            </w:pPr>
          </w:p>
        </w:tc>
        <w:tc>
          <w:tcPr>
            <w:tcW w:w="431" w:type="pct"/>
            <w:tcBorders>
              <w:top w:val="nil"/>
              <w:left w:val="nil"/>
              <w:bottom w:val="single" w:color="auto" w:sz="4" w:space="0"/>
              <w:right w:val="single" w:color="auto" w:sz="4" w:space="0"/>
            </w:tcBorders>
            <w:noWrap/>
            <w:vAlign w:val="center"/>
          </w:tcPr>
          <w:p w14:paraId="7716C631">
            <w:pPr>
              <w:ind w:left="0"/>
              <w:jc w:val="center"/>
              <w:rPr>
                <w:kern w:val="0"/>
                <w:sz w:val="22"/>
                <w:szCs w:val="22"/>
              </w:rPr>
            </w:pPr>
          </w:p>
        </w:tc>
        <w:tc>
          <w:tcPr>
            <w:tcW w:w="431" w:type="pct"/>
            <w:tcBorders>
              <w:top w:val="nil"/>
              <w:left w:val="nil"/>
              <w:bottom w:val="single" w:color="auto" w:sz="4" w:space="0"/>
              <w:right w:val="single" w:color="auto" w:sz="4" w:space="0"/>
            </w:tcBorders>
            <w:noWrap/>
            <w:vAlign w:val="center"/>
          </w:tcPr>
          <w:p w14:paraId="3FBE44BB">
            <w:pPr>
              <w:ind w:left="0"/>
              <w:jc w:val="center"/>
              <w:rPr>
                <w:kern w:val="0"/>
                <w:sz w:val="22"/>
                <w:szCs w:val="22"/>
              </w:rPr>
            </w:pPr>
          </w:p>
        </w:tc>
        <w:tc>
          <w:tcPr>
            <w:tcW w:w="439" w:type="pct"/>
            <w:tcBorders>
              <w:top w:val="nil"/>
              <w:left w:val="nil"/>
              <w:bottom w:val="single" w:color="auto" w:sz="4" w:space="0"/>
              <w:right w:val="single" w:color="auto" w:sz="4" w:space="0"/>
            </w:tcBorders>
            <w:noWrap/>
            <w:vAlign w:val="center"/>
          </w:tcPr>
          <w:p w14:paraId="015F8863">
            <w:pPr>
              <w:ind w:left="0"/>
              <w:jc w:val="center"/>
              <w:rPr>
                <w:kern w:val="0"/>
                <w:sz w:val="22"/>
                <w:szCs w:val="22"/>
              </w:rPr>
            </w:pPr>
          </w:p>
        </w:tc>
      </w:tr>
      <w:tr w14:paraId="251A57BA">
        <w:tblPrEx>
          <w:tblCellMar>
            <w:top w:w="0" w:type="dxa"/>
            <w:left w:w="108" w:type="dxa"/>
            <w:bottom w:w="0" w:type="dxa"/>
            <w:right w:w="108" w:type="dxa"/>
          </w:tblCellMar>
        </w:tblPrEx>
        <w:trPr>
          <w:trHeight w:val="454" w:hRule="atLeast"/>
        </w:trPr>
        <w:tc>
          <w:tcPr>
            <w:tcW w:w="1030" w:type="pct"/>
            <w:tcBorders>
              <w:top w:val="nil"/>
              <w:left w:val="single" w:color="auto" w:sz="4" w:space="0"/>
              <w:bottom w:val="single" w:color="auto" w:sz="4" w:space="0"/>
              <w:right w:val="single" w:color="auto" w:sz="4" w:space="0"/>
            </w:tcBorders>
            <w:noWrap/>
            <w:vAlign w:val="center"/>
          </w:tcPr>
          <w:p w14:paraId="1EE3E1F5">
            <w:pPr>
              <w:ind w:left="0"/>
              <w:jc w:val="center"/>
              <w:rPr>
                <w:color w:val="000000"/>
                <w:kern w:val="0"/>
                <w:sz w:val="22"/>
                <w:szCs w:val="22"/>
              </w:rPr>
            </w:pPr>
            <w:r>
              <w:rPr>
                <w:rFonts w:hint="eastAsia" w:ascii="宋体" w:hAnsi="宋体"/>
                <w:color w:val="000000"/>
                <w:kern w:val="0"/>
                <w:sz w:val="22"/>
                <w:szCs w:val="22"/>
              </w:rPr>
              <w:t>扩展不确定度</w:t>
            </w:r>
            <w:r>
              <w:rPr>
                <w:i/>
                <w:iCs/>
                <w:color w:val="000000"/>
                <w:kern w:val="0"/>
                <w:sz w:val="22"/>
                <w:szCs w:val="22"/>
              </w:rPr>
              <w:t>U</w:t>
            </w:r>
          </w:p>
        </w:tc>
        <w:tc>
          <w:tcPr>
            <w:tcW w:w="347" w:type="pct"/>
            <w:tcBorders>
              <w:top w:val="nil"/>
              <w:left w:val="nil"/>
              <w:bottom w:val="single" w:color="auto" w:sz="4" w:space="0"/>
              <w:right w:val="single" w:color="auto" w:sz="4" w:space="0"/>
            </w:tcBorders>
            <w:noWrap/>
            <w:vAlign w:val="center"/>
          </w:tcPr>
          <w:p w14:paraId="27603B1D">
            <w:pPr>
              <w:ind w:left="0"/>
              <w:jc w:val="center"/>
              <w:rPr>
                <w:color w:val="000000"/>
                <w:kern w:val="0"/>
                <w:sz w:val="22"/>
                <w:szCs w:val="22"/>
              </w:rPr>
            </w:pPr>
          </w:p>
        </w:tc>
        <w:tc>
          <w:tcPr>
            <w:tcW w:w="158" w:type="pct"/>
            <w:tcBorders>
              <w:top w:val="nil"/>
              <w:left w:val="nil"/>
              <w:bottom w:val="single" w:color="auto" w:sz="4" w:space="0"/>
              <w:right w:val="single" w:color="auto" w:sz="4" w:space="0"/>
            </w:tcBorders>
            <w:noWrap/>
            <w:vAlign w:val="center"/>
          </w:tcPr>
          <w:p w14:paraId="31C88979">
            <w:pPr>
              <w:ind w:left="0"/>
              <w:jc w:val="center"/>
              <w:rPr>
                <w:color w:val="000000"/>
                <w:kern w:val="0"/>
                <w:sz w:val="22"/>
                <w:szCs w:val="22"/>
              </w:rPr>
            </w:pPr>
          </w:p>
        </w:tc>
        <w:tc>
          <w:tcPr>
            <w:tcW w:w="431" w:type="pct"/>
            <w:tcBorders>
              <w:top w:val="nil"/>
              <w:left w:val="nil"/>
              <w:bottom w:val="single" w:color="auto" w:sz="4" w:space="0"/>
              <w:right w:val="single" w:color="auto" w:sz="4" w:space="0"/>
            </w:tcBorders>
            <w:noWrap/>
            <w:vAlign w:val="center"/>
          </w:tcPr>
          <w:p w14:paraId="754EBACD">
            <w:pPr>
              <w:ind w:left="0"/>
              <w:jc w:val="center"/>
              <w:rPr>
                <w:color w:val="000000"/>
                <w:kern w:val="0"/>
                <w:sz w:val="22"/>
                <w:szCs w:val="22"/>
              </w:rPr>
            </w:pPr>
          </w:p>
        </w:tc>
        <w:tc>
          <w:tcPr>
            <w:tcW w:w="431" w:type="pct"/>
            <w:tcBorders>
              <w:top w:val="nil"/>
              <w:left w:val="nil"/>
              <w:bottom w:val="single" w:color="auto" w:sz="4" w:space="0"/>
              <w:right w:val="single" w:color="auto" w:sz="4" w:space="0"/>
            </w:tcBorders>
            <w:noWrap/>
            <w:vAlign w:val="center"/>
          </w:tcPr>
          <w:p w14:paraId="68612E20">
            <w:pPr>
              <w:ind w:left="0"/>
              <w:jc w:val="center"/>
              <w:rPr>
                <w:color w:val="000000"/>
                <w:kern w:val="0"/>
                <w:sz w:val="22"/>
                <w:szCs w:val="22"/>
              </w:rPr>
            </w:pPr>
          </w:p>
        </w:tc>
        <w:tc>
          <w:tcPr>
            <w:tcW w:w="431" w:type="pct"/>
            <w:tcBorders>
              <w:top w:val="nil"/>
              <w:left w:val="nil"/>
              <w:bottom w:val="single" w:color="auto" w:sz="4" w:space="0"/>
              <w:right w:val="single" w:color="auto" w:sz="4" w:space="0"/>
            </w:tcBorders>
            <w:noWrap/>
            <w:vAlign w:val="center"/>
          </w:tcPr>
          <w:p w14:paraId="733371F1">
            <w:pPr>
              <w:ind w:left="0"/>
              <w:jc w:val="center"/>
              <w:rPr>
                <w:color w:val="000000"/>
                <w:kern w:val="0"/>
                <w:sz w:val="22"/>
                <w:szCs w:val="22"/>
              </w:rPr>
            </w:pPr>
          </w:p>
        </w:tc>
        <w:tc>
          <w:tcPr>
            <w:tcW w:w="431" w:type="pct"/>
            <w:tcBorders>
              <w:top w:val="single" w:color="auto" w:sz="4" w:space="0"/>
              <w:left w:val="nil"/>
              <w:bottom w:val="single" w:color="auto" w:sz="4" w:space="0"/>
              <w:right w:val="single" w:color="auto" w:sz="4" w:space="0"/>
            </w:tcBorders>
            <w:vAlign w:val="center"/>
          </w:tcPr>
          <w:p w14:paraId="17A70F1B">
            <w:pPr>
              <w:ind w:left="0"/>
              <w:jc w:val="center"/>
              <w:rPr>
                <w:color w:val="000000"/>
                <w:kern w:val="0"/>
                <w:sz w:val="22"/>
                <w:szCs w:val="22"/>
              </w:rPr>
            </w:pPr>
          </w:p>
        </w:tc>
        <w:tc>
          <w:tcPr>
            <w:tcW w:w="431" w:type="pct"/>
            <w:tcBorders>
              <w:top w:val="single" w:color="auto" w:sz="4" w:space="0"/>
              <w:left w:val="single" w:color="auto" w:sz="4" w:space="0"/>
              <w:bottom w:val="single" w:color="auto" w:sz="4" w:space="0"/>
              <w:right w:val="single" w:color="auto" w:sz="4" w:space="0"/>
            </w:tcBorders>
            <w:noWrap/>
            <w:vAlign w:val="center"/>
          </w:tcPr>
          <w:p w14:paraId="7EFB4FA7">
            <w:pPr>
              <w:ind w:left="0"/>
              <w:jc w:val="center"/>
              <w:rPr>
                <w:color w:val="000000"/>
                <w:kern w:val="0"/>
                <w:sz w:val="22"/>
                <w:szCs w:val="22"/>
              </w:rPr>
            </w:pPr>
          </w:p>
        </w:tc>
        <w:tc>
          <w:tcPr>
            <w:tcW w:w="431" w:type="pct"/>
            <w:tcBorders>
              <w:top w:val="nil"/>
              <w:left w:val="nil"/>
              <w:bottom w:val="single" w:color="auto" w:sz="4" w:space="0"/>
              <w:right w:val="single" w:color="auto" w:sz="4" w:space="0"/>
            </w:tcBorders>
            <w:noWrap/>
            <w:vAlign w:val="center"/>
          </w:tcPr>
          <w:p w14:paraId="0A2BB980">
            <w:pPr>
              <w:ind w:left="0"/>
              <w:jc w:val="center"/>
              <w:rPr>
                <w:color w:val="000000"/>
                <w:kern w:val="0"/>
                <w:sz w:val="22"/>
                <w:szCs w:val="22"/>
              </w:rPr>
            </w:pPr>
          </w:p>
        </w:tc>
        <w:tc>
          <w:tcPr>
            <w:tcW w:w="431" w:type="pct"/>
            <w:tcBorders>
              <w:top w:val="nil"/>
              <w:left w:val="nil"/>
              <w:bottom w:val="single" w:color="auto" w:sz="4" w:space="0"/>
              <w:right w:val="single" w:color="auto" w:sz="4" w:space="0"/>
            </w:tcBorders>
            <w:noWrap/>
            <w:vAlign w:val="center"/>
          </w:tcPr>
          <w:p w14:paraId="4A78127B">
            <w:pPr>
              <w:ind w:left="0"/>
              <w:jc w:val="center"/>
              <w:rPr>
                <w:color w:val="000000"/>
                <w:kern w:val="0"/>
                <w:sz w:val="22"/>
                <w:szCs w:val="22"/>
              </w:rPr>
            </w:pPr>
          </w:p>
        </w:tc>
        <w:tc>
          <w:tcPr>
            <w:tcW w:w="439" w:type="pct"/>
            <w:tcBorders>
              <w:top w:val="nil"/>
              <w:left w:val="nil"/>
              <w:bottom w:val="single" w:color="auto" w:sz="4" w:space="0"/>
              <w:right w:val="single" w:color="auto" w:sz="4" w:space="0"/>
            </w:tcBorders>
            <w:noWrap/>
            <w:vAlign w:val="center"/>
          </w:tcPr>
          <w:p w14:paraId="7B69CE40">
            <w:pPr>
              <w:ind w:left="0"/>
              <w:jc w:val="center"/>
              <w:rPr>
                <w:color w:val="000000"/>
                <w:kern w:val="0"/>
                <w:sz w:val="22"/>
                <w:szCs w:val="22"/>
              </w:rPr>
            </w:pPr>
          </w:p>
        </w:tc>
      </w:tr>
    </w:tbl>
    <w:p w14:paraId="7EA43263">
      <w:pPr>
        <w:ind w:left="0"/>
        <w:rPr>
          <w:szCs w:val="21"/>
        </w:rPr>
      </w:pPr>
    </w:p>
    <w:p w14:paraId="7C2E0C87">
      <w:pPr>
        <w:ind w:left="0"/>
        <w:rPr>
          <w:szCs w:val="21"/>
        </w:rPr>
      </w:pPr>
    </w:p>
    <w:p w14:paraId="0DA38DF5">
      <w:pPr>
        <w:ind w:left="0"/>
        <w:rPr>
          <w:rFonts w:cs="宋体"/>
          <w:szCs w:val="21"/>
        </w:rPr>
      </w:pPr>
      <w:r>
        <w:rPr>
          <w:rFonts w:hint="eastAsia"/>
          <w:szCs w:val="21"/>
        </w:rPr>
        <w:t>校准员：</w:t>
      </w:r>
      <w:r>
        <w:rPr>
          <w:rFonts w:hint="eastAsia" w:cs="宋体"/>
          <w:szCs w:val="21"/>
          <w:u w:val="single"/>
        </w:rPr>
        <w:t xml:space="preserve">                         </w:t>
      </w:r>
      <w:r>
        <w:rPr>
          <w:rFonts w:hint="eastAsia" w:cs="宋体"/>
          <w:szCs w:val="21"/>
        </w:rPr>
        <w:t xml:space="preserve">  核验员：</w:t>
      </w:r>
      <w:r>
        <w:rPr>
          <w:rFonts w:hint="eastAsia" w:cs="宋体"/>
          <w:szCs w:val="21"/>
          <w:u w:val="single"/>
        </w:rPr>
        <w:t xml:space="preserve">                         </w:t>
      </w:r>
      <w:r>
        <w:rPr>
          <w:rFonts w:hint="eastAsia" w:cs="宋体"/>
          <w:szCs w:val="21"/>
        </w:rPr>
        <w:t xml:space="preserve"> 校准日期：           年         月          日</w:t>
      </w:r>
    </w:p>
    <w:p w14:paraId="5689ADAB"/>
    <w:p w14:paraId="7AD865C4">
      <w:pPr>
        <w:ind w:left="0"/>
        <w:rPr>
          <w:bCs/>
        </w:rPr>
        <w:sectPr>
          <w:pgSz w:w="16838" w:h="11906" w:orient="landscape"/>
          <w:pgMar w:top="1134" w:right="1440" w:bottom="1134" w:left="1440" w:header="851" w:footer="992" w:gutter="0"/>
          <w:cols w:space="720" w:num="1"/>
          <w:docGrid w:type="lines" w:linePitch="312" w:charSpace="0"/>
        </w:sectPr>
      </w:pPr>
      <w:r>
        <w:rPr>
          <w:rFonts w:hint="eastAsia"/>
          <w:szCs w:val="21"/>
        </w:rPr>
        <w:t>校准地点：□本实验室</w:t>
      </w:r>
      <w:r>
        <w:rPr>
          <w:rFonts w:hint="eastAsia"/>
          <w:szCs w:val="21"/>
          <w:u w:val="single"/>
        </w:rPr>
        <w:t xml:space="preserve">                                 </w:t>
      </w:r>
      <w:r>
        <w:rPr>
          <w:rFonts w:hint="eastAsia"/>
          <w:szCs w:val="21"/>
        </w:rPr>
        <w:t>□现场</w:t>
      </w:r>
      <w:r>
        <w:rPr>
          <w:rFonts w:hint="eastAsia"/>
          <w:szCs w:val="21"/>
          <w:u w:val="single"/>
        </w:rPr>
        <w:t xml:space="preserve">                                                          </w:t>
      </w:r>
    </w:p>
    <w:p w14:paraId="5AC4F894">
      <w:pPr>
        <w:pStyle w:val="62"/>
        <w:rPr>
          <w:rFonts w:ascii="Times New Roman"/>
        </w:rPr>
      </w:pPr>
      <w:bookmarkStart w:id="202" w:name="_Toc11876"/>
      <w:r>
        <w:rPr>
          <w:rFonts w:hint="eastAsia" w:ascii="Times New Roman"/>
        </w:rPr>
        <w:t>附录D</w:t>
      </w:r>
      <w:bookmarkEnd w:id="202"/>
    </w:p>
    <w:p w14:paraId="518120A7">
      <w:pPr>
        <w:pStyle w:val="62"/>
        <w:jc w:val="center"/>
        <w:rPr>
          <w:rFonts w:ascii="Times New Roman"/>
          <w:szCs w:val="21"/>
        </w:rPr>
      </w:pPr>
      <w:bookmarkStart w:id="203" w:name="_Toc8739"/>
      <w:r>
        <w:rPr>
          <w:rFonts w:hint="eastAsia" w:ascii="Times New Roman"/>
        </w:rPr>
        <w:t>称重物料罐分步替代法校准记录格式</w:t>
      </w:r>
      <w:bookmarkStart w:id="204" w:name="OLE_LINK133"/>
      <w:bookmarkStart w:id="205" w:name="OLE_LINK130"/>
      <w:r>
        <w:rPr>
          <w:rFonts w:hint="eastAsia" w:ascii="Times New Roman"/>
        </w:rPr>
        <w:t>（增量）</w:t>
      </w:r>
      <w:bookmarkEnd w:id="204"/>
      <w:bookmarkEnd w:id="205"/>
      <w:r>
        <w:rPr>
          <w:rFonts w:hint="eastAsia" w:ascii="Times New Roman"/>
        </w:rPr>
        <w:t>（示例）</w:t>
      </w:r>
      <w:bookmarkEnd w:id="203"/>
    </w:p>
    <w:p w14:paraId="61CE8D2B">
      <w:pPr>
        <w:jc w:val="center"/>
        <w:rPr>
          <w:szCs w:val="21"/>
        </w:rPr>
      </w:pPr>
      <w:r>
        <w:rPr>
          <w:rFonts w:hint="eastAsia"/>
          <w:szCs w:val="21"/>
        </w:rPr>
        <w:t xml:space="preserve">                                          校准证书编号：    　　　　    </w:t>
      </w:r>
    </w:p>
    <w:p w14:paraId="4C0A970B">
      <w:pPr>
        <w:rPr>
          <w:rFonts w:cs="宋体"/>
          <w:szCs w:val="21"/>
        </w:rPr>
      </w:pPr>
      <w:r>
        <w:rPr>
          <w:rFonts w:hint="eastAsia" w:cs="宋体"/>
          <w:szCs w:val="21"/>
        </w:rPr>
        <w:t xml:space="preserve">                                                     共     页       第     页</w:t>
      </w:r>
    </w:p>
    <w:p w14:paraId="4D515477">
      <w:pPr>
        <w:rPr>
          <w:rFonts w:cs="宋体"/>
          <w:szCs w:val="21"/>
          <w:u w:val="single"/>
        </w:rPr>
      </w:pPr>
      <w:r>
        <w:rPr>
          <w:rFonts w:hint="eastAsia" w:cs="宋体"/>
          <w:szCs w:val="21"/>
        </w:rPr>
        <w:t>委托单位：</w:t>
      </w:r>
      <w:r>
        <w:rPr>
          <w:rFonts w:hint="eastAsia" w:cs="宋体"/>
          <w:szCs w:val="21"/>
          <w:u w:val="single"/>
        </w:rPr>
        <w:t xml:space="preserve">                             </w:t>
      </w:r>
      <w:r>
        <w:rPr>
          <w:rFonts w:hint="eastAsia" w:cs="宋体"/>
          <w:szCs w:val="21"/>
        </w:rPr>
        <w:t xml:space="preserve"> 委托方地址：</w:t>
      </w:r>
      <w:r>
        <w:rPr>
          <w:rFonts w:hint="eastAsia" w:cs="宋体"/>
          <w:szCs w:val="21"/>
          <w:u w:val="single"/>
        </w:rPr>
        <w:t xml:space="preserve">                           </w:t>
      </w:r>
    </w:p>
    <w:p w14:paraId="44224068">
      <w:pPr>
        <w:rPr>
          <w:rFonts w:cs="宋体"/>
          <w:szCs w:val="21"/>
          <w:u w:val="single"/>
        </w:rPr>
      </w:pPr>
      <w:r>
        <w:rPr>
          <w:rFonts w:hint="eastAsia" w:cs="宋体"/>
          <w:szCs w:val="21"/>
        </w:rPr>
        <w:t>仪器名称：</w:t>
      </w:r>
      <w:r>
        <w:rPr>
          <w:rFonts w:hint="eastAsia" w:cs="宋体"/>
          <w:szCs w:val="21"/>
          <w:u w:val="single"/>
        </w:rPr>
        <w:t xml:space="preserve">                             </w:t>
      </w:r>
      <w:r>
        <w:rPr>
          <w:rFonts w:hint="eastAsia" w:cs="宋体"/>
          <w:szCs w:val="21"/>
        </w:rPr>
        <w:t xml:space="preserve"> 规格型号：</w:t>
      </w:r>
      <w:r>
        <w:rPr>
          <w:rFonts w:hint="eastAsia" w:cs="宋体"/>
          <w:szCs w:val="21"/>
          <w:u w:val="single"/>
        </w:rPr>
        <w:t xml:space="preserve">                             </w:t>
      </w:r>
    </w:p>
    <w:p w14:paraId="710DB430">
      <w:pPr>
        <w:rPr>
          <w:rFonts w:cs="宋体"/>
          <w:szCs w:val="21"/>
        </w:rPr>
      </w:pPr>
      <w:r>
        <w:rPr>
          <w:rFonts w:hint="eastAsia" w:cs="宋体"/>
          <w:szCs w:val="21"/>
        </w:rPr>
        <w:t>出厂编号：</w:t>
      </w:r>
      <w:r>
        <w:rPr>
          <w:rFonts w:hint="eastAsia" w:cs="宋体"/>
          <w:szCs w:val="21"/>
          <w:u w:val="single"/>
        </w:rPr>
        <w:t xml:space="preserve">                             </w:t>
      </w:r>
      <w:r>
        <w:rPr>
          <w:rFonts w:hint="eastAsia" w:cs="宋体"/>
          <w:szCs w:val="21"/>
        </w:rPr>
        <w:t xml:space="preserve"> 生产厂家：</w:t>
      </w:r>
      <w:r>
        <w:rPr>
          <w:rFonts w:hint="eastAsia" w:cs="宋体"/>
          <w:szCs w:val="21"/>
          <w:u w:val="single"/>
        </w:rPr>
        <w:t xml:space="preserve">                             </w:t>
      </w:r>
      <w:r>
        <w:rPr>
          <w:rFonts w:hint="eastAsia" w:cs="宋体"/>
          <w:szCs w:val="21"/>
        </w:rPr>
        <w:t xml:space="preserve">  </w:t>
      </w:r>
    </w:p>
    <w:p w14:paraId="35C6908C">
      <w:pPr>
        <w:rPr>
          <w:rFonts w:cs="宋体"/>
          <w:szCs w:val="21"/>
          <w:u w:val="single"/>
        </w:rPr>
      </w:pPr>
      <w:r>
        <w:rPr>
          <w:rFonts w:hint="eastAsia" w:cs="宋体"/>
          <w:szCs w:val="21"/>
        </w:rPr>
        <w:t>被校仪器状态：校准前：</w:t>
      </w:r>
      <w:r>
        <w:rPr>
          <w:rFonts w:hint="eastAsia" w:cs="宋体"/>
          <w:szCs w:val="21"/>
          <w:u w:val="single"/>
        </w:rPr>
        <w:t xml:space="preserve">            </w:t>
      </w:r>
      <w:r>
        <w:rPr>
          <w:rFonts w:hint="eastAsia" w:cs="宋体"/>
          <w:szCs w:val="21"/>
        </w:rPr>
        <w:t xml:space="preserve"> 校 准 后：</w:t>
      </w:r>
      <w:r>
        <w:rPr>
          <w:rFonts w:hint="eastAsia" w:cs="宋体"/>
          <w:szCs w:val="21"/>
          <w:u w:val="single"/>
        </w:rPr>
        <w:t xml:space="preserve">          </w:t>
      </w:r>
      <w:r>
        <w:rPr>
          <w:rFonts w:hint="eastAsia" w:cs="宋体"/>
          <w:szCs w:val="21"/>
        </w:rPr>
        <w:t xml:space="preserve">  最大称量</w:t>
      </w:r>
      <w:r>
        <w:rPr>
          <w:rFonts w:hint="eastAsia" w:cs="宋体"/>
          <w:szCs w:val="21"/>
          <w:u w:val="single"/>
        </w:rPr>
        <w:t xml:space="preserve">              </w:t>
      </w:r>
    </w:p>
    <w:p w14:paraId="1DA40F1F">
      <w:pPr>
        <w:rPr>
          <w:rFonts w:cs="宋体"/>
          <w:szCs w:val="21"/>
        </w:rPr>
      </w:pPr>
      <w:r>
        <w:rPr>
          <w:rFonts w:hint="eastAsia" w:cs="宋体"/>
          <w:szCs w:val="21"/>
        </w:rPr>
        <w:t>校准条件：温度：</w:t>
      </w:r>
      <w:r>
        <w:rPr>
          <w:rFonts w:hint="eastAsia" w:cs="宋体"/>
          <w:szCs w:val="21"/>
          <w:u w:val="single"/>
        </w:rPr>
        <w:t xml:space="preserve">              </w:t>
      </w:r>
      <w:r>
        <w:rPr>
          <w:rFonts w:hint="eastAsia" w:cs="宋体"/>
          <w:szCs w:val="21"/>
        </w:rPr>
        <w:t xml:space="preserve"> </w:t>
      </w:r>
      <w:r>
        <w:rPr>
          <w:rFonts w:hint="eastAsia"/>
          <w:szCs w:val="21"/>
        </w:rPr>
        <w:t xml:space="preserve">℃  </w:t>
      </w:r>
      <w:r>
        <w:rPr>
          <w:rFonts w:hint="eastAsia" w:cs="宋体"/>
          <w:szCs w:val="21"/>
        </w:rPr>
        <w:t>相对湿度：</w:t>
      </w:r>
      <w:r>
        <w:rPr>
          <w:rFonts w:hint="eastAsia" w:cs="宋体"/>
          <w:szCs w:val="21"/>
          <w:u w:val="single"/>
        </w:rPr>
        <w:t xml:space="preserve">         </w:t>
      </w:r>
      <w:r>
        <w:rPr>
          <w:rFonts w:hint="eastAsia" w:cs="宋体"/>
          <w:szCs w:val="21"/>
        </w:rPr>
        <w:t xml:space="preserve"> %  分度值</w:t>
      </w:r>
      <w:r>
        <w:rPr>
          <w:rFonts w:hint="eastAsia" w:cs="宋体"/>
          <w:szCs w:val="21"/>
          <w:u w:val="single"/>
        </w:rPr>
        <w:t xml:space="preserve">       </w:t>
      </w:r>
      <w:r>
        <w:rPr>
          <w:rFonts w:hint="eastAsia"/>
        </w:rPr>
        <w:t>□</w:t>
      </w:r>
      <w:r>
        <w:rPr>
          <w:rFonts w:hint="eastAsia" w:cs="宋体"/>
          <w:szCs w:val="21"/>
        </w:rPr>
        <w:t>扩展</w:t>
      </w:r>
    </w:p>
    <w:p w14:paraId="39E4DDF2">
      <w:pPr>
        <w:rPr>
          <w:rFonts w:cs="宋体"/>
          <w:szCs w:val="21"/>
        </w:rPr>
      </w:pPr>
      <w:r>
        <w:rPr>
          <w:rFonts w:hint="eastAsia" w:cs="宋体"/>
          <w:szCs w:val="21"/>
        </w:rPr>
        <w:t>校准依据：</w:t>
      </w:r>
      <w:r>
        <w:rPr>
          <w:rFonts w:hint="eastAsia" w:cs="宋体"/>
          <w:szCs w:val="21"/>
          <w:u w:val="single"/>
        </w:rPr>
        <w:t xml:space="preserve">                             </w:t>
      </w:r>
      <w:r>
        <w:rPr>
          <w:rFonts w:hint="eastAsia" w:cs="宋体"/>
          <w:szCs w:val="21"/>
        </w:rPr>
        <w:t xml:space="preserve"> 外观检查：</w:t>
      </w:r>
      <w:r>
        <w:rPr>
          <w:rFonts w:hint="eastAsia"/>
        </w:rPr>
        <w:t>□</w:t>
      </w:r>
      <w:r>
        <w:rPr>
          <w:rFonts w:hint="eastAsia" w:cs="宋体"/>
          <w:szCs w:val="21"/>
        </w:rPr>
        <w:t xml:space="preserve">合格  </w:t>
      </w:r>
      <w:r>
        <w:rPr>
          <w:rFonts w:hint="eastAsia"/>
        </w:rPr>
        <w:t>□</w:t>
      </w:r>
      <w:r>
        <w:rPr>
          <w:rFonts w:hint="eastAsia" w:cs="宋体"/>
          <w:szCs w:val="21"/>
        </w:rPr>
        <w:t>异常</w:t>
      </w:r>
      <w:r>
        <w:rPr>
          <w:rFonts w:hint="eastAsia" w:cs="宋体"/>
          <w:szCs w:val="21"/>
          <w:u w:val="single"/>
        </w:rPr>
        <w:t xml:space="preserve">               </w:t>
      </w:r>
      <w:r>
        <w:rPr>
          <w:rFonts w:hint="eastAsia" w:cs="宋体"/>
          <w:szCs w:val="21"/>
        </w:rPr>
        <w:t xml:space="preserve">   </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97"/>
        <w:gridCol w:w="1605"/>
        <w:gridCol w:w="1606"/>
        <w:gridCol w:w="1606"/>
        <w:gridCol w:w="1607"/>
        <w:gridCol w:w="1607"/>
      </w:tblGrid>
      <w:tr w14:paraId="17F55B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97" w:type="dxa"/>
          </w:tcPr>
          <w:p w14:paraId="1C2363E9">
            <w:pPr>
              <w:pStyle w:val="66"/>
              <w:widowControl w:val="0"/>
              <w:ind w:left="0"/>
              <w:jc w:val="both"/>
              <w:rPr>
                <w:sz w:val="21"/>
                <w:szCs w:val="21"/>
              </w:rPr>
            </w:pPr>
            <w:r>
              <w:rPr>
                <w:rFonts w:hint="eastAsia"/>
                <w:sz w:val="21"/>
                <w:szCs w:val="21"/>
              </w:rPr>
              <w:t>主标准器名称</w:t>
            </w:r>
          </w:p>
        </w:tc>
        <w:tc>
          <w:tcPr>
            <w:tcW w:w="1605" w:type="dxa"/>
          </w:tcPr>
          <w:p w14:paraId="14BC90B4">
            <w:pPr>
              <w:pStyle w:val="66"/>
              <w:widowControl w:val="0"/>
              <w:jc w:val="both"/>
              <w:rPr>
                <w:sz w:val="21"/>
                <w:szCs w:val="21"/>
              </w:rPr>
            </w:pPr>
            <w:r>
              <w:rPr>
                <w:rFonts w:hint="eastAsia"/>
                <w:sz w:val="21"/>
                <w:szCs w:val="21"/>
              </w:rPr>
              <w:t>型号规格</w:t>
            </w:r>
          </w:p>
        </w:tc>
        <w:tc>
          <w:tcPr>
            <w:tcW w:w="1606" w:type="dxa"/>
          </w:tcPr>
          <w:p w14:paraId="2107FF91">
            <w:pPr>
              <w:pStyle w:val="66"/>
              <w:widowControl w:val="0"/>
              <w:jc w:val="both"/>
              <w:rPr>
                <w:sz w:val="21"/>
                <w:szCs w:val="21"/>
              </w:rPr>
            </w:pPr>
            <w:r>
              <w:rPr>
                <w:rFonts w:hint="eastAsia"/>
                <w:sz w:val="21"/>
                <w:szCs w:val="21"/>
              </w:rPr>
              <w:t>出厂编号</w:t>
            </w:r>
          </w:p>
        </w:tc>
        <w:tc>
          <w:tcPr>
            <w:tcW w:w="1606" w:type="dxa"/>
          </w:tcPr>
          <w:p w14:paraId="4AE41DAA">
            <w:pPr>
              <w:pStyle w:val="66"/>
              <w:widowControl w:val="0"/>
              <w:jc w:val="both"/>
              <w:rPr>
                <w:sz w:val="21"/>
                <w:szCs w:val="21"/>
              </w:rPr>
            </w:pPr>
            <w:r>
              <w:rPr>
                <w:rFonts w:hint="eastAsia"/>
                <w:sz w:val="21"/>
                <w:szCs w:val="21"/>
              </w:rPr>
              <w:t>准确度等级</w:t>
            </w:r>
          </w:p>
        </w:tc>
        <w:tc>
          <w:tcPr>
            <w:tcW w:w="1607" w:type="dxa"/>
          </w:tcPr>
          <w:p w14:paraId="2C52E13E">
            <w:pPr>
              <w:pStyle w:val="66"/>
              <w:widowControl w:val="0"/>
              <w:jc w:val="both"/>
              <w:rPr>
                <w:sz w:val="21"/>
                <w:szCs w:val="21"/>
              </w:rPr>
            </w:pPr>
            <w:r>
              <w:rPr>
                <w:rFonts w:hint="eastAsia"/>
                <w:sz w:val="21"/>
                <w:szCs w:val="21"/>
              </w:rPr>
              <w:t>有效期</w:t>
            </w:r>
          </w:p>
        </w:tc>
        <w:tc>
          <w:tcPr>
            <w:tcW w:w="1607" w:type="dxa"/>
          </w:tcPr>
          <w:p w14:paraId="0297E33D">
            <w:pPr>
              <w:pStyle w:val="66"/>
              <w:widowControl w:val="0"/>
              <w:jc w:val="both"/>
              <w:rPr>
                <w:sz w:val="21"/>
                <w:szCs w:val="21"/>
              </w:rPr>
            </w:pPr>
            <w:r>
              <w:rPr>
                <w:rFonts w:hint="eastAsia"/>
                <w:sz w:val="21"/>
                <w:szCs w:val="21"/>
              </w:rPr>
              <w:t>证书编号</w:t>
            </w:r>
          </w:p>
        </w:tc>
      </w:tr>
      <w:tr w14:paraId="090BF5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97" w:type="dxa"/>
          </w:tcPr>
          <w:p w14:paraId="3AB97F2A">
            <w:pPr>
              <w:pStyle w:val="66"/>
              <w:widowControl w:val="0"/>
              <w:jc w:val="both"/>
              <w:rPr>
                <w:sz w:val="21"/>
                <w:szCs w:val="21"/>
              </w:rPr>
            </w:pPr>
          </w:p>
        </w:tc>
        <w:tc>
          <w:tcPr>
            <w:tcW w:w="1605" w:type="dxa"/>
          </w:tcPr>
          <w:p w14:paraId="7950367C">
            <w:pPr>
              <w:pStyle w:val="66"/>
              <w:widowControl w:val="0"/>
              <w:jc w:val="both"/>
              <w:rPr>
                <w:sz w:val="21"/>
                <w:szCs w:val="21"/>
              </w:rPr>
            </w:pPr>
          </w:p>
        </w:tc>
        <w:tc>
          <w:tcPr>
            <w:tcW w:w="1606" w:type="dxa"/>
          </w:tcPr>
          <w:p w14:paraId="15473726">
            <w:pPr>
              <w:pStyle w:val="66"/>
              <w:widowControl w:val="0"/>
              <w:jc w:val="both"/>
              <w:rPr>
                <w:sz w:val="21"/>
                <w:szCs w:val="21"/>
              </w:rPr>
            </w:pPr>
          </w:p>
        </w:tc>
        <w:tc>
          <w:tcPr>
            <w:tcW w:w="1606" w:type="dxa"/>
          </w:tcPr>
          <w:p w14:paraId="681B6945">
            <w:pPr>
              <w:pStyle w:val="66"/>
              <w:widowControl w:val="0"/>
              <w:jc w:val="both"/>
              <w:rPr>
                <w:sz w:val="21"/>
                <w:szCs w:val="21"/>
              </w:rPr>
            </w:pPr>
          </w:p>
        </w:tc>
        <w:tc>
          <w:tcPr>
            <w:tcW w:w="1607" w:type="dxa"/>
          </w:tcPr>
          <w:p w14:paraId="7EA26C4E">
            <w:pPr>
              <w:pStyle w:val="66"/>
              <w:widowControl w:val="0"/>
              <w:jc w:val="both"/>
              <w:rPr>
                <w:sz w:val="21"/>
                <w:szCs w:val="21"/>
              </w:rPr>
            </w:pPr>
          </w:p>
        </w:tc>
        <w:tc>
          <w:tcPr>
            <w:tcW w:w="1607" w:type="dxa"/>
          </w:tcPr>
          <w:p w14:paraId="3821F049">
            <w:pPr>
              <w:pStyle w:val="66"/>
              <w:widowControl w:val="0"/>
              <w:jc w:val="both"/>
              <w:rPr>
                <w:sz w:val="21"/>
                <w:szCs w:val="21"/>
              </w:rPr>
            </w:pPr>
          </w:p>
        </w:tc>
      </w:tr>
      <w:tr w14:paraId="60BC26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97" w:type="dxa"/>
          </w:tcPr>
          <w:p w14:paraId="2AD2B5A1">
            <w:pPr>
              <w:pStyle w:val="66"/>
              <w:widowControl w:val="0"/>
              <w:jc w:val="both"/>
              <w:rPr>
                <w:sz w:val="21"/>
                <w:szCs w:val="21"/>
              </w:rPr>
            </w:pPr>
          </w:p>
        </w:tc>
        <w:tc>
          <w:tcPr>
            <w:tcW w:w="1605" w:type="dxa"/>
          </w:tcPr>
          <w:p w14:paraId="708EBE52">
            <w:pPr>
              <w:pStyle w:val="66"/>
              <w:widowControl w:val="0"/>
              <w:jc w:val="both"/>
              <w:rPr>
                <w:sz w:val="21"/>
                <w:szCs w:val="21"/>
              </w:rPr>
            </w:pPr>
          </w:p>
        </w:tc>
        <w:tc>
          <w:tcPr>
            <w:tcW w:w="1606" w:type="dxa"/>
          </w:tcPr>
          <w:p w14:paraId="2F285204">
            <w:pPr>
              <w:pStyle w:val="66"/>
              <w:widowControl w:val="0"/>
              <w:jc w:val="both"/>
              <w:rPr>
                <w:sz w:val="21"/>
                <w:szCs w:val="21"/>
              </w:rPr>
            </w:pPr>
          </w:p>
        </w:tc>
        <w:tc>
          <w:tcPr>
            <w:tcW w:w="1606" w:type="dxa"/>
          </w:tcPr>
          <w:p w14:paraId="38DF319B">
            <w:pPr>
              <w:pStyle w:val="66"/>
              <w:widowControl w:val="0"/>
              <w:jc w:val="both"/>
              <w:rPr>
                <w:sz w:val="21"/>
                <w:szCs w:val="21"/>
              </w:rPr>
            </w:pPr>
          </w:p>
        </w:tc>
        <w:tc>
          <w:tcPr>
            <w:tcW w:w="1607" w:type="dxa"/>
          </w:tcPr>
          <w:p w14:paraId="657ECC17">
            <w:pPr>
              <w:pStyle w:val="66"/>
              <w:widowControl w:val="0"/>
              <w:jc w:val="both"/>
              <w:rPr>
                <w:sz w:val="21"/>
                <w:szCs w:val="21"/>
              </w:rPr>
            </w:pPr>
          </w:p>
        </w:tc>
        <w:tc>
          <w:tcPr>
            <w:tcW w:w="1607" w:type="dxa"/>
          </w:tcPr>
          <w:p w14:paraId="4C6884D1">
            <w:pPr>
              <w:pStyle w:val="66"/>
              <w:widowControl w:val="0"/>
              <w:jc w:val="both"/>
              <w:rPr>
                <w:sz w:val="21"/>
                <w:szCs w:val="21"/>
              </w:rPr>
            </w:pPr>
          </w:p>
        </w:tc>
      </w:tr>
    </w:tbl>
    <w:p w14:paraId="2D1B485E">
      <w:pPr>
        <w:numPr>
          <w:ilvl w:val="0"/>
          <w:numId w:val="6"/>
        </w:numPr>
        <w:spacing w:before="156" w:beforeLines="50" w:after="156" w:afterLines="50" w:line="360" w:lineRule="auto"/>
        <w:ind w:left="408" w:hanging="408" w:hangingChars="170"/>
      </w:pPr>
      <w:r>
        <w:rPr>
          <w:rFonts w:hint="eastAsia"/>
        </w:rPr>
        <w:t>示值误差</w:t>
      </w:r>
      <w:r>
        <w:t xml:space="preserve">  标准载荷单元</w:t>
      </w:r>
      <w:r>
        <w:rPr>
          <w:rFonts w:hint="eastAsia"/>
          <w:i/>
        </w:rPr>
        <w:t>L</w:t>
      </w:r>
      <w:r>
        <w:t>：</w:t>
      </w:r>
      <w:r>
        <w:rPr>
          <w:rFonts w:hint="eastAsia"/>
          <w:u w:val="single"/>
        </w:rPr>
        <w:t xml:space="preserve">          </w:t>
      </w:r>
      <w:r>
        <w:rPr>
          <w:rFonts w:hint="eastAsia"/>
        </w:rPr>
        <w:t xml:space="preserve">kg ， </w:t>
      </w:r>
      <w:r>
        <w:rPr>
          <w:i/>
        </w:rPr>
        <w:t>E</w:t>
      </w:r>
      <w:r>
        <w:t>=</w:t>
      </w:r>
      <w:r>
        <w:rPr>
          <w:i/>
        </w:rPr>
        <w:t>I</w:t>
      </w:r>
      <w:r>
        <w:t>+</w:t>
      </w:r>
      <w:r>
        <w:rPr>
          <w:position w:val="-12"/>
        </w:rPr>
        <w:object>
          <v:shape id="_x0000_i1091" o:spt="75" type="#_x0000_t75" style="height:18pt;width:10pt;" o:ole="t" filled="f" o:preferrelative="t" stroked="f" coordsize="21600,21600">
            <v:path/>
            <v:fill on="f" focussize="0,0"/>
            <v:stroke on="f" joinstyle="miter"/>
            <v:imagedata r:id="rId138" o:title=""/>
            <o:lock v:ext="edit" aspectratio="t"/>
            <w10:wrap type="none"/>
            <w10:anchorlock/>
          </v:shape>
          <o:OLEObject Type="Embed" ProgID="Equation.3" ShapeID="_x0000_i1091" DrawAspect="Content" ObjectID="_1468075791" r:id="rId141">
            <o:LockedField>false</o:LockedField>
          </o:OLEObject>
        </w:object>
      </w:r>
      <w:r>
        <w:rPr>
          <w:rFonts w:hint="eastAsia"/>
          <w:i/>
        </w:rPr>
        <w:t>d</w:t>
      </w:r>
      <w:r>
        <w:t>-</w:t>
      </w:r>
      <w:r>
        <w:rPr>
          <w:rFonts w:hint="eastAsia" w:eastAsia="MS Mincho" w:cs="MS Mincho"/>
        </w:rPr>
        <w:t>∆</w:t>
      </w:r>
      <w:r>
        <w:rPr>
          <w:i/>
        </w:rPr>
        <w:t>L</w:t>
      </w:r>
      <w:r>
        <w:t>-</w:t>
      </w:r>
      <w:r>
        <w:rPr>
          <w:i/>
        </w:rPr>
        <w:t>L</w:t>
      </w:r>
      <w:r>
        <w:rPr>
          <w:rFonts w:hint="eastAsia"/>
        </w:rPr>
        <w:t xml:space="preserve">  </w:t>
      </w:r>
    </w:p>
    <w:tbl>
      <w:tblPr>
        <w:tblStyle w:val="21"/>
        <w:tblpPr w:leftFromText="180" w:rightFromText="180" w:vertAnchor="text" w:tblpY="1"/>
        <w:tblOverlap w:val="never"/>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33"/>
        <w:gridCol w:w="2186"/>
        <w:gridCol w:w="2436"/>
        <w:gridCol w:w="2573"/>
      </w:tblGrid>
      <w:tr w14:paraId="3E9802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1264" w:type="pct"/>
            <w:vAlign w:val="center"/>
          </w:tcPr>
          <w:p w14:paraId="0AB40209">
            <w:pPr>
              <w:spacing w:line="320" w:lineRule="exact"/>
              <w:jc w:val="center"/>
            </w:pPr>
            <w:r>
              <w:rPr>
                <w:rFonts w:hint="eastAsia"/>
              </w:rPr>
              <w:t>测量点</w:t>
            </w:r>
          </w:p>
        </w:tc>
        <w:tc>
          <w:tcPr>
            <w:tcW w:w="1135" w:type="pct"/>
            <w:vAlign w:val="center"/>
          </w:tcPr>
          <w:p w14:paraId="36BEDC7A">
            <w:pPr>
              <w:spacing w:line="320" w:lineRule="exact"/>
              <w:jc w:val="center"/>
            </w:pPr>
            <w:r>
              <w:rPr>
                <w:rFonts w:hint="eastAsia"/>
              </w:rPr>
              <w:t>载荷示值</w:t>
            </w:r>
            <w:r>
              <w:rPr>
                <w:i/>
              </w:rPr>
              <w:t>I</w:t>
            </w:r>
            <w:r>
              <w:t xml:space="preserve">( </w:t>
            </w:r>
            <w:r>
              <w:rPr>
                <w:rFonts w:hint="eastAsia"/>
              </w:rPr>
              <w:t xml:space="preserve">  </w:t>
            </w:r>
            <w:r>
              <w:t xml:space="preserve"> )</w:t>
            </w:r>
          </w:p>
        </w:tc>
        <w:tc>
          <w:tcPr>
            <w:tcW w:w="1265" w:type="pct"/>
            <w:vAlign w:val="center"/>
          </w:tcPr>
          <w:p w14:paraId="531CF98E">
            <w:pPr>
              <w:spacing w:line="320" w:lineRule="exact"/>
              <w:jc w:val="center"/>
            </w:pPr>
            <w:r>
              <w:rPr>
                <w:rFonts w:hint="eastAsia"/>
              </w:rPr>
              <w:t>附加砝码</w:t>
            </w:r>
            <w:r>
              <w:rPr>
                <w:rFonts w:hint="eastAsia" w:eastAsia="Batang"/>
              </w:rPr>
              <w:t>∆</w:t>
            </w:r>
            <w:r>
              <w:rPr>
                <w:rFonts w:hint="eastAsia"/>
                <w:i/>
              </w:rPr>
              <w:t>L</w:t>
            </w:r>
          </w:p>
          <w:p w14:paraId="199E9022">
            <w:pPr>
              <w:spacing w:line="320" w:lineRule="exact"/>
              <w:jc w:val="center"/>
            </w:pPr>
            <w:r>
              <w:t xml:space="preserve">( </w:t>
            </w:r>
            <w:r>
              <w:rPr>
                <w:rFonts w:hint="eastAsia"/>
              </w:rPr>
              <w:t xml:space="preserve">  </w:t>
            </w:r>
            <w:r>
              <w:t xml:space="preserve"> )</w:t>
            </w:r>
          </w:p>
        </w:tc>
        <w:tc>
          <w:tcPr>
            <w:tcW w:w="1336" w:type="pct"/>
            <w:vAlign w:val="center"/>
          </w:tcPr>
          <w:p w14:paraId="730C3021">
            <w:pPr>
              <w:spacing w:line="320" w:lineRule="exact"/>
              <w:jc w:val="center"/>
            </w:pPr>
            <w:r>
              <w:rPr>
                <w:rFonts w:hint="eastAsia"/>
              </w:rPr>
              <w:t>增量示值</w:t>
            </w:r>
          </w:p>
          <w:p w14:paraId="359F62A4">
            <w:pPr>
              <w:spacing w:line="320" w:lineRule="exact"/>
              <w:jc w:val="center"/>
            </w:pPr>
            <w:r>
              <w:rPr>
                <w:rFonts w:hint="eastAsia"/>
              </w:rPr>
              <w:t>误差</w:t>
            </w:r>
            <w:r>
              <w:rPr>
                <w:rFonts w:hint="eastAsia"/>
                <w:i/>
              </w:rPr>
              <w:t>E</w:t>
            </w:r>
            <w:r>
              <w:t xml:space="preserve">( </w:t>
            </w:r>
            <w:r>
              <w:rPr>
                <w:rFonts w:hint="eastAsia"/>
              </w:rPr>
              <w:t xml:space="preserve">  </w:t>
            </w:r>
            <w:r>
              <w:t xml:space="preserve"> )</w:t>
            </w:r>
          </w:p>
        </w:tc>
      </w:tr>
      <w:tr w14:paraId="228332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trPr>
        <w:tc>
          <w:tcPr>
            <w:tcW w:w="1264" w:type="pct"/>
          </w:tcPr>
          <w:p w14:paraId="68AF2D8F">
            <w:pPr>
              <w:spacing w:line="320" w:lineRule="exact"/>
              <w:ind w:left="0"/>
            </w:pPr>
            <w:r>
              <w:rPr>
                <w:rFonts w:hint="eastAsia"/>
              </w:rPr>
              <w:t>1 零点</w:t>
            </w:r>
          </w:p>
        </w:tc>
        <w:tc>
          <w:tcPr>
            <w:tcW w:w="1135" w:type="pct"/>
          </w:tcPr>
          <w:p w14:paraId="2373B9AB">
            <w:pPr>
              <w:spacing w:line="320" w:lineRule="exact"/>
              <w:jc w:val="center"/>
            </w:pPr>
          </w:p>
        </w:tc>
        <w:tc>
          <w:tcPr>
            <w:tcW w:w="1265" w:type="pct"/>
          </w:tcPr>
          <w:p w14:paraId="29A68C1F">
            <w:pPr>
              <w:spacing w:line="320" w:lineRule="exact"/>
              <w:jc w:val="center"/>
            </w:pPr>
          </w:p>
        </w:tc>
        <w:tc>
          <w:tcPr>
            <w:tcW w:w="1336" w:type="pct"/>
          </w:tcPr>
          <w:p w14:paraId="755A412C">
            <w:pPr>
              <w:spacing w:line="320" w:lineRule="exact"/>
              <w:jc w:val="center"/>
            </w:pPr>
          </w:p>
        </w:tc>
      </w:tr>
      <w:tr w14:paraId="3E2158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trPr>
        <w:tc>
          <w:tcPr>
            <w:tcW w:w="1264" w:type="pct"/>
          </w:tcPr>
          <w:p w14:paraId="1E43281F">
            <w:pPr>
              <w:spacing w:line="320" w:lineRule="exact"/>
              <w:ind w:left="0" w:firstLine="240" w:firstLineChars="100"/>
            </w:pPr>
            <w:r>
              <w:rPr>
                <w:rFonts w:hint="eastAsia"/>
              </w:rPr>
              <w:t>1.1加载</w:t>
            </w:r>
            <w:r>
              <w:rPr>
                <w:rFonts w:hint="eastAsia"/>
                <w:i/>
              </w:rPr>
              <w:t>L</w:t>
            </w:r>
          </w:p>
        </w:tc>
        <w:tc>
          <w:tcPr>
            <w:tcW w:w="1135" w:type="pct"/>
          </w:tcPr>
          <w:p w14:paraId="1166ECF4">
            <w:pPr>
              <w:spacing w:line="320" w:lineRule="exact"/>
              <w:jc w:val="center"/>
            </w:pPr>
          </w:p>
        </w:tc>
        <w:tc>
          <w:tcPr>
            <w:tcW w:w="1265" w:type="pct"/>
          </w:tcPr>
          <w:p w14:paraId="349D0F41">
            <w:pPr>
              <w:spacing w:line="320" w:lineRule="exact"/>
              <w:jc w:val="center"/>
            </w:pPr>
          </w:p>
        </w:tc>
        <w:tc>
          <w:tcPr>
            <w:tcW w:w="1336" w:type="pct"/>
          </w:tcPr>
          <w:p w14:paraId="085EF673">
            <w:pPr>
              <w:spacing w:line="320" w:lineRule="exact"/>
              <w:jc w:val="center"/>
            </w:pPr>
          </w:p>
        </w:tc>
      </w:tr>
      <w:tr w14:paraId="3538E4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trPr>
        <w:tc>
          <w:tcPr>
            <w:tcW w:w="1264" w:type="pct"/>
          </w:tcPr>
          <w:p w14:paraId="2046F526">
            <w:pPr>
              <w:spacing w:line="320" w:lineRule="exact"/>
              <w:ind w:left="0" w:firstLine="240" w:firstLineChars="100"/>
            </w:pPr>
            <w:r>
              <w:rPr>
                <w:rFonts w:hint="eastAsia"/>
              </w:rPr>
              <w:t>1.2卸载</w:t>
            </w:r>
            <w:r>
              <w:rPr>
                <w:rFonts w:hint="eastAsia"/>
                <w:i/>
              </w:rPr>
              <w:t>L</w:t>
            </w:r>
          </w:p>
        </w:tc>
        <w:tc>
          <w:tcPr>
            <w:tcW w:w="1135" w:type="pct"/>
          </w:tcPr>
          <w:p w14:paraId="5D3769BA">
            <w:pPr>
              <w:spacing w:line="320" w:lineRule="exact"/>
              <w:jc w:val="center"/>
            </w:pPr>
          </w:p>
        </w:tc>
        <w:tc>
          <w:tcPr>
            <w:tcW w:w="1265" w:type="pct"/>
          </w:tcPr>
          <w:p w14:paraId="31DFE3E1">
            <w:pPr>
              <w:spacing w:line="320" w:lineRule="exact"/>
              <w:jc w:val="center"/>
            </w:pPr>
          </w:p>
        </w:tc>
        <w:tc>
          <w:tcPr>
            <w:tcW w:w="1336" w:type="pct"/>
          </w:tcPr>
          <w:p w14:paraId="75360A5F">
            <w:pPr>
              <w:spacing w:line="320" w:lineRule="exact"/>
              <w:jc w:val="center"/>
            </w:pPr>
          </w:p>
        </w:tc>
      </w:tr>
      <w:tr w14:paraId="0129D1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trPr>
        <w:tc>
          <w:tcPr>
            <w:tcW w:w="1264" w:type="pct"/>
          </w:tcPr>
          <w:p w14:paraId="629C7A9A">
            <w:pPr>
              <w:spacing w:line="320" w:lineRule="exact"/>
              <w:ind w:left="0"/>
            </w:pPr>
            <w:r>
              <w:rPr>
                <w:rFonts w:hint="eastAsia"/>
              </w:rPr>
              <w:t>2 加载物料</w:t>
            </w:r>
          </w:p>
        </w:tc>
        <w:tc>
          <w:tcPr>
            <w:tcW w:w="1135" w:type="pct"/>
          </w:tcPr>
          <w:p w14:paraId="28184B1A">
            <w:pPr>
              <w:spacing w:line="320" w:lineRule="exact"/>
              <w:jc w:val="center"/>
            </w:pPr>
          </w:p>
        </w:tc>
        <w:tc>
          <w:tcPr>
            <w:tcW w:w="1265" w:type="pct"/>
          </w:tcPr>
          <w:p w14:paraId="4705E02A">
            <w:pPr>
              <w:spacing w:line="320" w:lineRule="exact"/>
              <w:jc w:val="center"/>
            </w:pPr>
          </w:p>
        </w:tc>
        <w:tc>
          <w:tcPr>
            <w:tcW w:w="1336" w:type="pct"/>
          </w:tcPr>
          <w:p w14:paraId="47757C2E">
            <w:pPr>
              <w:spacing w:line="320" w:lineRule="exact"/>
              <w:jc w:val="center"/>
            </w:pPr>
          </w:p>
        </w:tc>
      </w:tr>
      <w:tr w14:paraId="65DE4E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trPr>
        <w:tc>
          <w:tcPr>
            <w:tcW w:w="1264" w:type="pct"/>
          </w:tcPr>
          <w:p w14:paraId="3C494984">
            <w:pPr>
              <w:spacing w:line="320" w:lineRule="exact"/>
              <w:ind w:left="0" w:firstLine="240" w:firstLineChars="100"/>
            </w:pPr>
            <w:r>
              <w:rPr>
                <w:rFonts w:hint="eastAsia"/>
              </w:rPr>
              <w:t>2</w:t>
            </w:r>
            <w:r>
              <w:t>.1</w:t>
            </w:r>
            <w:r>
              <w:rPr>
                <w:rFonts w:hint="eastAsia"/>
              </w:rPr>
              <w:t>加载</w:t>
            </w:r>
            <w:r>
              <w:rPr>
                <w:rFonts w:hint="eastAsia"/>
                <w:i/>
              </w:rPr>
              <w:t>L</w:t>
            </w:r>
          </w:p>
        </w:tc>
        <w:tc>
          <w:tcPr>
            <w:tcW w:w="1135" w:type="pct"/>
          </w:tcPr>
          <w:p w14:paraId="629614F5">
            <w:pPr>
              <w:spacing w:line="320" w:lineRule="exact"/>
              <w:jc w:val="center"/>
            </w:pPr>
          </w:p>
        </w:tc>
        <w:tc>
          <w:tcPr>
            <w:tcW w:w="1265" w:type="pct"/>
          </w:tcPr>
          <w:p w14:paraId="32AEF5AA">
            <w:pPr>
              <w:spacing w:line="320" w:lineRule="exact"/>
              <w:jc w:val="center"/>
            </w:pPr>
          </w:p>
        </w:tc>
        <w:tc>
          <w:tcPr>
            <w:tcW w:w="1336" w:type="pct"/>
          </w:tcPr>
          <w:p w14:paraId="7D133B7E">
            <w:pPr>
              <w:spacing w:line="320" w:lineRule="exact"/>
              <w:jc w:val="center"/>
            </w:pPr>
          </w:p>
        </w:tc>
      </w:tr>
      <w:tr w14:paraId="6D6BDE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trPr>
        <w:tc>
          <w:tcPr>
            <w:tcW w:w="1264" w:type="pct"/>
          </w:tcPr>
          <w:p w14:paraId="1C795CB5">
            <w:pPr>
              <w:spacing w:line="320" w:lineRule="exact"/>
              <w:ind w:left="0" w:firstLine="240" w:firstLineChars="100"/>
            </w:pPr>
            <w:r>
              <w:rPr>
                <w:rFonts w:hint="eastAsia"/>
              </w:rPr>
              <w:t>2</w:t>
            </w:r>
            <w:r>
              <w:t>.2</w:t>
            </w:r>
            <w:r>
              <w:rPr>
                <w:rFonts w:hint="eastAsia"/>
              </w:rPr>
              <w:t>卸载</w:t>
            </w:r>
            <w:r>
              <w:rPr>
                <w:rFonts w:hint="eastAsia"/>
                <w:i/>
              </w:rPr>
              <w:t>L</w:t>
            </w:r>
          </w:p>
        </w:tc>
        <w:tc>
          <w:tcPr>
            <w:tcW w:w="1135" w:type="pct"/>
          </w:tcPr>
          <w:p w14:paraId="76E65688">
            <w:pPr>
              <w:spacing w:line="320" w:lineRule="exact"/>
              <w:jc w:val="center"/>
            </w:pPr>
          </w:p>
        </w:tc>
        <w:tc>
          <w:tcPr>
            <w:tcW w:w="1265" w:type="pct"/>
          </w:tcPr>
          <w:p w14:paraId="7D9283E2">
            <w:pPr>
              <w:spacing w:line="320" w:lineRule="exact"/>
              <w:jc w:val="center"/>
            </w:pPr>
          </w:p>
        </w:tc>
        <w:tc>
          <w:tcPr>
            <w:tcW w:w="1336" w:type="pct"/>
          </w:tcPr>
          <w:p w14:paraId="78DA6544">
            <w:pPr>
              <w:spacing w:line="320" w:lineRule="exact"/>
              <w:jc w:val="center"/>
            </w:pPr>
          </w:p>
        </w:tc>
      </w:tr>
      <w:tr w14:paraId="00F8A6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trPr>
        <w:tc>
          <w:tcPr>
            <w:tcW w:w="1264" w:type="pct"/>
          </w:tcPr>
          <w:p w14:paraId="5E4D9875">
            <w:pPr>
              <w:spacing w:line="320" w:lineRule="exact"/>
              <w:ind w:left="0"/>
            </w:pPr>
            <w:r>
              <w:rPr>
                <w:rFonts w:hint="eastAsia"/>
              </w:rPr>
              <w:t>3</w:t>
            </w:r>
            <w:r>
              <w:t xml:space="preserve"> </w:t>
            </w:r>
            <w:r>
              <w:rPr>
                <w:rFonts w:hint="eastAsia"/>
              </w:rPr>
              <w:t>加载物料</w:t>
            </w:r>
          </w:p>
        </w:tc>
        <w:tc>
          <w:tcPr>
            <w:tcW w:w="1135" w:type="pct"/>
          </w:tcPr>
          <w:p w14:paraId="61DEB491">
            <w:pPr>
              <w:spacing w:line="320" w:lineRule="exact"/>
              <w:jc w:val="center"/>
            </w:pPr>
          </w:p>
        </w:tc>
        <w:tc>
          <w:tcPr>
            <w:tcW w:w="1265" w:type="pct"/>
          </w:tcPr>
          <w:p w14:paraId="37C20661">
            <w:pPr>
              <w:spacing w:line="320" w:lineRule="exact"/>
              <w:jc w:val="center"/>
            </w:pPr>
          </w:p>
        </w:tc>
        <w:tc>
          <w:tcPr>
            <w:tcW w:w="1336" w:type="pct"/>
          </w:tcPr>
          <w:p w14:paraId="297B79B4">
            <w:pPr>
              <w:spacing w:line="320" w:lineRule="exact"/>
              <w:jc w:val="center"/>
            </w:pPr>
          </w:p>
        </w:tc>
      </w:tr>
      <w:tr w14:paraId="54F38C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trPr>
        <w:tc>
          <w:tcPr>
            <w:tcW w:w="1264" w:type="pct"/>
          </w:tcPr>
          <w:p w14:paraId="5E102BB0">
            <w:pPr>
              <w:spacing w:line="320" w:lineRule="exact"/>
              <w:ind w:left="0" w:firstLine="240" w:firstLineChars="100"/>
            </w:pPr>
            <w:r>
              <w:rPr>
                <w:rFonts w:hint="eastAsia"/>
              </w:rPr>
              <w:t>3</w:t>
            </w:r>
            <w:r>
              <w:t>.1</w:t>
            </w:r>
            <w:r>
              <w:rPr>
                <w:rFonts w:hint="eastAsia"/>
              </w:rPr>
              <w:t>加载</w:t>
            </w:r>
            <w:r>
              <w:rPr>
                <w:i/>
              </w:rPr>
              <w:t>L</w:t>
            </w:r>
          </w:p>
        </w:tc>
        <w:tc>
          <w:tcPr>
            <w:tcW w:w="1135" w:type="pct"/>
          </w:tcPr>
          <w:p w14:paraId="2D68F1BB">
            <w:pPr>
              <w:spacing w:line="320" w:lineRule="exact"/>
              <w:jc w:val="center"/>
            </w:pPr>
          </w:p>
        </w:tc>
        <w:tc>
          <w:tcPr>
            <w:tcW w:w="1265" w:type="pct"/>
          </w:tcPr>
          <w:p w14:paraId="2E0E5C5D">
            <w:pPr>
              <w:spacing w:line="320" w:lineRule="exact"/>
              <w:jc w:val="center"/>
            </w:pPr>
          </w:p>
        </w:tc>
        <w:tc>
          <w:tcPr>
            <w:tcW w:w="1336" w:type="pct"/>
          </w:tcPr>
          <w:p w14:paraId="77FA35EC">
            <w:pPr>
              <w:spacing w:line="320" w:lineRule="exact"/>
              <w:jc w:val="center"/>
            </w:pPr>
          </w:p>
        </w:tc>
      </w:tr>
      <w:tr w14:paraId="0488F4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trPr>
        <w:tc>
          <w:tcPr>
            <w:tcW w:w="1264" w:type="pct"/>
          </w:tcPr>
          <w:p w14:paraId="1E596F37">
            <w:pPr>
              <w:spacing w:line="320" w:lineRule="exact"/>
              <w:ind w:left="0" w:firstLine="240" w:firstLineChars="100"/>
            </w:pPr>
            <w:r>
              <w:rPr>
                <w:rFonts w:hint="eastAsia"/>
              </w:rPr>
              <w:t>3</w:t>
            </w:r>
            <w:r>
              <w:t>.2</w:t>
            </w:r>
            <w:r>
              <w:rPr>
                <w:rFonts w:hint="eastAsia"/>
              </w:rPr>
              <w:t>卸载</w:t>
            </w:r>
            <w:r>
              <w:rPr>
                <w:i/>
              </w:rPr>
              <w:t>L</w:t>
            </w:r>
          </w:p>
        </w:tc>
        <w:tc>
          <w:tcPr>
            <w:tcW w:w="1135" w:type="pct"/>
          </w:tcPr>
          <w:p w14:paraId="680C4847">
            <w:pPr>
              <w:spacing w:line="320" w:lineRule="exact"/>
              <w:jc w:val="center"/>
            </w:pPr>
          </w:p>
        </w:tc>
        <w:tc>
          <w:tcPr>
            <w:tcW w:w="1265" w:type="pct"/>
          </w:tcPr>
          <w:p w14:paraId="3A3DA795">
            <w:pPr>
              <w:spacing w:line="320" w:lineRule="exact"/>
              <w:jc w:val="center"/>
            </w:pPr>
          </w:p>
        </w:tc>
        <w:tc>
          <w:tcPr>
            <w:tcW w:w="1336" w:type="pct"/>
          </w:tcPr>
          <w:p w14:paraId="6A52C629">
            <w:pPr>
              <w:spacing w:line="320" w:lineRule="exact"/>
              <w:jc w:val="center"/>
            </w:pPr>
          </w:p>
        </w:tc>
      </w:tr>
      <w:tr w14:paraId="09B35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trPr>
        <w:tc>
          <w:tcPr>
            <w:tcW w:w="1264" w:type="pct"/>
          </w:tcPr>
          <w:p w14:paraId="150E2D0A">
            <w:pPr>
              <w:spacing w:line="320" w:lineRule="exact"/>
              <w:ind w:left="0"/>
            </w:pPr>
            <w:r>
              <w:rPr>
                <w:rFonts w:hint="eastAsia"/>
              </w:rPr>
              <w:t>4</w:t>
            </w:r>
            <w:r>
              <w:t xml:space="preserve"> </w:t>
            </w:r>
            <w:r>
              <w:rPr>
                <w:rFonts w:hint="eastAsia"/>
              </w:rPr>
              <w:t>加载物料</w:t>
            </w:r>
          </w:p>
        </w:tc>
        <w:tc>
          <w:tcPr>
            <w:tcW w:w="1135" w:type="pct"/>
          </w:tcPr>
          <w:p w14:paraId="5BE2958C">
            <w:pPr>
              <w:spacing w:line="320" w:lineRule="exact"/>
              <w:jc w:val="center"/>
            </w:pPr>
          </w:p>
        </w:tc>
        <w:tc>
          <w:tcPr>
            <w:tcW w:w="1265" w:type="pct"/>
          </w:tcPr>
          <w:p w14:paraId="1E900F8D">
            <w:pPr>
              <w:spacing w:line="320" w:lineRule="exact"/>
              <w:jc w:val="center"/>
            </w:pPr>
          </w:p>
        </w:tc>
        <w:tc>
          <w:tcPr>
            <w:tcW w:w="1336" w:type="pct"/>
          </w:tcPr>
          <w:p w14:paraId="17B15916">
            <w:pPr>
              <w:spacing w:line="320" w:lineRule="exact"/>
              <w:jc w:val="center"/>
            </w:pPr>
          </w:p>
        </w:tc>
      </w:tr>
      <w:tr w14:paraId="75319C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trPr>
        <w:tc>
          <w:tcPr>
            <w:tcW w:w="1264" w:type="pct"/>
          </w:tcPr>
          <w:p w14:paraId="3F51F60D">
            <w:pPr>
              <w:spacing w:line="320" w:lineRule="exact"/>
              <w:ind w:left="0" w:firstLine="240" w:firstLineChars="100"/>
            </w:pPr>
            <w:r>
              <w:rPr>
                <w:rFonts w:hint="eastAsia"/>
              </w:rPr>
              <w:t>4</w:t>
            </w:r>
            <w:r>
              <w:t>.1</w:t>
            </w:r>
            <w:r>
              <w:rPr>
                <w:rFonts w:hint="eastAsia"/>
              </w:rPr>
              <w:t>加载</w:t>
            </w:r>
            <w:r>
              <w:rPr>
                <w:i/>
              </w:rPr>
              <w:t>L</w:t>
            </w:r>
          </w:p>
        </w:tc>
        <w:tc>
          <w:tcPr>
            <w:tcW w:w="1135" w:type="pct"/>
          </w:tcPr>
          <w:p w14:paraId="46592923">
            <w:pPr>
              <w:spacing w:line="320" w:lineRule="exact"/>
              <w:jc w:val="center"/>
            </w:pPr>
          </w:p>
        </w:tc>
        <w:tc>
          <w:tcPr>
            <w:tcW w:w="1265" w:type="pct"/>
          </w:tcPr>
          <w:p w14:paraId="658C0A71">
            <w:pPr>
              <w:spacing w:line="320" w:lineRule="exact"/>
              <w:jc w:val="center"/>
            </w:pPr>
          </w:p>
        </w:tc>
        <w:tc>
          <w:tcPr>
            <w:tcW w:w="1336" w:type="pct"/>
          </w:tcPr>
          <w:p w14:paraId="48796C03">
            <w:pPr>
              <w:spacing w:line="320" w:lineRule="exact"/>
              <w:jc w:val="center"/>
            </w:pPr>
          </w:p>
        </w:tc>
      </w:tr>
      <w:tr w14:paraId="5532FA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trPr>
        <w:tc>
          <w:tcPr>
            <w:tcW w:w="1264" w:type="pct"/>
          </w:tcPr>
          <w:p w14:paraId="0B500241">
            <w:pPr>
              <w:spacing w:line="320" w:lineRule="exact"/>
              <w:ind w:left="0" w:firstLine="240" w:firstLineChars="100"/>
            </w:pPr>
            <w:r>
              <w:rPr>
                <w:rFonts w:hint="eastAsia"/>
              </w:rPr>
              <w:t>4</w:t>
            </w:r>
            <w:r>
              <w:t>.2</w:t>
            </w:r>
            <w:r>
              <w:rPr>
                <w:rFonts w:hint="eastAsia"/>
              </w:rPr>
              <w:t>卸载</w:t>
            </w:r>
            <w:r>
              <w:rPr>
                <w:i/>
              </w:rPr>
              <w:t>L</w:t>
            </w:r>
          </w:p>
        </w:tc>
        <w:tc>
          <w:tcPr>
            <w:tcW w:w="1135" w:type="pct"/>
          </w:tcPr>
          <w:p w14:paraId="17732519">
            <w:pPr>
              <w:spacing w:line="320" w:lineRule="exact"/>
              <w:jc w:val="center"/>
            </w:pPr>
          </w:p>
        </w:tc>
        <w:tc>
          <w:tcPr>
            <w:tcW w:w="1265" w:type="pct"/>
          </w:tcPr>
          <w:p w14:paraId="3762ED60">
            <w:pPr>
              <w:spacing w:line="320" w:lineRule="exact"/>
              <w:jc w:val="center"/>
            </w:pPr>
          </w:p>
        </w:tc>
        <w:tc>
          <w:tcPr>
            <w:tcW w:w="1336" w:type="pct"/>
          </w:tcPr>
          <w:p w14:paraId="693945AD">
            <w:pPr>
              <w:spacing w:line="320" w:lineRule="exact"/>
              <w:jc w:val="center"/>
            </w:pPr>
          </w:p>
        </w:tc>
      </w:tr>
      <w:tr w14:paraId="00CB76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trPr>
        <w:tc>
          <w:tcPr>
            <w:tcW w:w="1264" w:type="pct"/>
          </w:tcPr>
          <w:p w14:paraId="1FCD6FF5">
            <w:pPr>
              <w:spacing w:line="320" w:lineRule="exact"/>
              <w:ind w:left="0"/>
            </w:pPr>
            <w:r>
              <w:rPr>
                <w:rFonts w:hint="eastAsia"/>
              </w:rPr>
              <w:t>5</w:t>
            </w:r>
            <w:r>
              <w:t xml:space="preserve"> </w:t>
            </w:r>
            <w:r>
              <w:rPr>
                <w:rFonts w:hint="eastAsia"/>
              </w:rPr>
              <w:t>加载物料</w:t>
            </w:r>
          </w:p>
        </w:tc>
        <w:tc>
          <w:tcPr>
            <w:tcW w:w="1135" w:type="pct"/>
          </w:tcPr>
          <w:p w14:paraId="274CD4C9">
            <w:pPr>
              <w:spacing w:line="320" w:lineRule="exact"/>
              <w:jc w:val="center"/>
            </w:pPr>
          </w:p>
        </w:tc>
        <w:tc>
          <w:tcPr>
            <w:tcW w:w="1265" w:type="pct"/>
          </w:tcPr>
          <w:p w14:paraId="498BE123">
            <w:pPr>
              <w:spacing w:line="320" w:lineRule="exact"/>
              <w:jc w:val="center"/>
            </w:pPr>
          </w:p>
        </w:tc>
        <w:tc>
          <w:tcPr>
            <w:tcW w:w="1336" w:type="pct"/>
          </w:tcPr>
          <w:p w14:paraId="1648C572">
            <w:pPr>
              <w:spacing w:line="320" w:lineRule="exact"/>
              <w:jc w:val="center"/>
            </w:pPr>
          </w:p>
        </w:tc>
      </w:tr>
      <w:tr w14:paraId="620460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trPr>
        <w:tc>
          <w:tcPr>
            <w:tcW w:w="1264" w:type="pct"/>
          </w:tcPr>
          <w:p w14:paraId="187D20E0">
            <w:pPr>
              <w:spacing w:line="320" w:lineRule="exact"/>
              <w:ind w:left="0" w:firstLine="240" w:firstLineChars="100"/>
            </w:pPr>
            <w:r>
              <w:rPr>
                <w:rFonts w:hint="eastAsia"/>
              </w:rPr>
              <w:t>5</w:t>
            </w:r>
            <w:r>
              <w:t>.1</w:t>
            </w:r>
            <w:r>
              <w:rPr>
                <w:rFonts w:hint="eastAsia"/>
              </w:rPr>
              <w:t>加载</w:t>
            </w:r>
            <w:r>
              <w:rPr>
                <w:i/>
              </w:rPr>
              <w:t>L</w:t>
            </w:r>
          </w:p>
        </w:tc>
        <w:tc>
          <w:tcPr>
            <w:tcW w:w="1135" w:type="pct"/>
          </w:tcPr>
          <w:p w14:paraId="1362FBC8">
            <w:pPr>
              <w:spacing w:line="320" w:lineRule="exact"/>
              <w:jc w:val="center"/>
            </w:pPr>
          </w:p>
        </w:tc>
        <w:tc>
          <w:tcPr>
            <w:tcW w:w="1265" w:type="pct"/>
          </w:tcPr>
          <w:p w14:paraId="5761F4CB">
            <w:pPr>
              <w:spacing w:line="320" w:lineRule="exact"/>
              <w:jc w:val="center"/>
            </w:pPr>
          </w:p>
        </w:tc>
        <w:tc>
          <w:tcPr>
            <w:tcW w:w="1336" w:type="pct"/>
          </w:tcPr>
          <w:p w14:paraId="63F8FCBA">
            <w:pPr>
              <w:spacing w:line="320" w:lineRule="exact"/>
              <w:jc w:val="center"/>
            </w:pPr>
          </w:p>
        </w:tc>
      </w:tr>
      <w:tr w14:paraId="0B42A0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trPr>
        <w:tc>
          <w:tcPr>
            <w:tcW w:w="1264" w:type="pct"/>
          </w:tcPr>
          <w:p w14:paraId="5CE9D0A5">
            <w:pPr>
              <w:spacing w:line="320" w:lineRule="exact"/>
              <w:ind w:left="0" w:firstLine="240" w:firstLineChars="100"/>
            </w:pPr>
            <w:r>
              <w:rPr>
                <w:rFonts w:hint="eastAsia"/>
              </w:rPr>
              <w:t>5</w:t>
            </w:r>
            <w:r>
              <w:t>.2</w:t>
            </w:r>
            <w:r>
              <w:rPr>
                <w:rFonts w:hint="eastAsia"/>
              </w:rPr>
              <w:t>卸载</w:t>
            </w:r>
            <w:r>
              <w:rPr>
                <w:i/>
              </w:rPr>
              <w:t>L</w:t>
            </w:r>
          </w:p>
        </w:tc>
        <w:tc>
          <w:tcPr>
            <w:tcW w:w="1135" w:type="pct"/>
          </w:tcPr>
          <w:p w14:paraId="10F63C49">
            <w:pPr>
              <w:spacing w:line="320" w:lineRule="exact"/>
              <w:jc w:val="center"/>
            </w:pPr>
          </w:p>
        </w:tc>
        <w:tc>
          <w:tcPr>
            <w:tcW w:w="1265" w:type="pct"/>
          </w:tcPr>
          <w:p w14:paraId="5173770A">
            <w:pPr>
              <w:spacing w:line="320" w:lineRule="exact"/>
              <w:jc w:val="center"/>
            </w:pPr>
          </w:p>
        </w:tc>
        <w:tc>
          <w:tcPr>
            <w:tcW w:w="1336" w:type="pct"/>
          </w:tcPr>
          <w:p w14:paraId="55AA8F27">
            <w:pPr>
              <w:spacing w:line="320" w:lineRule="exact"/>
              <w:jc w:val="center"/>
            </w:pPr>
          </w:p>
        </w:tc>
      </w:tr>
      <w:tr w14:paraId="0E398D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trPr>
        <w:tc>
          <w:tcPr>
            <w:tcW w:w="1264" w:type="pct"/>
          </w:tcPr>
          <w:p w14:paraId="162016A5">
            <w:pPr>
              <w:spacing w:line="320" w:lineRule="exact"/>
              <w:ind w:left="0"/>
            </w:pPr>
            <w:r>
              <w:rPr>
                <w:rFonts w:hint="eastAsia"/>
              </w:rPr>
              <w:t>6</w:t>
            </w:r>
            <w:r>
              <w:t xml:space="preserve"> </w:t>
            </w:r>
            <w:r>
              <w:rPr>
                <w:rFonts w:hint="eastAsia"/>
              </w:rPr>
              <w:t>加载物料</w:t>
            </w:r>
          </w:p>
        </w:tc>
        <w:tc>
          <w:tcPr>
            <w:tcW w:w="1135" w:type="pct"/>
          </w:tcPr>
          <w:p w14:paraId="68116B91">
            <w:pPr>
              <w:spacing w:line="320" w:lineRule="exact"/>
              <w:jc w:val="center"/>
            </w:pPr>
          </w:p>
        </w:tc>
        <w:tc>
          <w:tcPr>
            <w:tcW w:w="1265" w:type="pct"/>
          </w:tcPr>
          <w:p w14:paraId="7F587948">
            <w:pPr>
              <w:spacing w:line="320" w:lineRule="exact"/>
              <w:jc w:val="center"/>
            </w:pPr>
          </w:p>
        </w:tc>
        <w:tc>
          <w:tcPr>
            <w:tcW w:w="1336" w:type="pct"/>
          </w:tcPr>
          <w:p w14:paraId="0031B6AC">
            <w:pPr>
              <w:spacing w:line="320" w:lineRule="exact"/>
              <w:jc w:val="center"/>
            </w:pPr>
          </w:p>
        </w:tc>
      </w:tr>
      <w:tr w14:paraId="4DEF56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trPr>
        <w:tc>
          <w:tcPr>
            <w:tcW w:w="1264" w:type="pct"/>
          </w:tcPr>
          <w:p w14:paraId="50E99CAA">
            <w:pPr>
              <w:spacing w:line="320" w:lineRule="exact"/>
              <w:ind w:left="0" w:firstLine="240" w:firstLineChars="100"/>
            </w:pPr>
            <w:r>
              <w:rPr>
                <w:rFonts w:hint="eastAsia"/>
              </w:rPr>
              <w:t>6</w:t>
            </w:r>
            <w:r>
              <w:t>.1</w:t>
            </w:r>
            <w:r>
              <w:rPr>
                <w:rFonts w:hint="eastAsia"/>
              </w:rPr>
              <w:t>加载</w:t>
            </w:r>
            <w:r>
              <w:rPr>
                <w:i/>
              </w:rPr>
              <w:t>L</w:t>
            </w:r>
          </w:p>
        </w:tc>
        <w:tc>
          <w:tcPr>
            <w:tcW w:w="1135" w:type="pct"/>
          </w:tcPr>
          <w:p w14:paraId="2D2BF923">
            <w:pPr>
              <w:spacing w:line="320" w:lineRule="exact"/>
              <w:jc w:val="center"/>
            </w:pPr>
          </w:p>
        </w:tc>
        <w:tc>
          <w:tcPr>
            <w:tcW w:w="1265" w:type="pct"/>
          </w:tcPr>
          <w:p w14:paraId="0B01756E">
            <w:pPr>
              <w:spacing w:line="320" w:lineRule="exact"/>
              <w:jc w:val="center"/>
            </w:pPr>
          </w:p>
        </w:tc>
        <w:tc>
          <w:tcPr>
            <w:tcW w:w="1336" w:type="pct"/>
          </w:tcPr>
          <w:p w14:paraId="5202BBE6">
            <w:pPr>
              <w:spacing w:line="320" w:lineRule="exact"/>
              <w:jc w:val="center"/>
            </w:pPr>
          </w:p>
        </w:tc>
      </w:tr>
      <w:tr w14:paraId="454E84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trPr>
        <w:tc>
          <w:tcPr>
            <w:tcW w:w="1264" w:type="pct"/>
          </w:tcPr>
          <w:p w14:paraId="71D90E14">
            <w:pPr>
              <w:spacing w:line="320" w:lineRule="exact"/>
              <w:ind w:left="0" w:firstLine="240" w:firstLineChars="100"/>
            </w:pPr>
            <w:r>
              <w:rPr>
                <w:rFonts w:hint="eastAsia"/>
              </w:rPr>
              <w:t>6</w:t>
            </w:r>
            <w:r>
              <w:t>.2</w:t>
            </w:r>
            <w:r>
              <w:rPr>
                <w:rFonts w:hint="eastAsia"/>
              </w:rPr>
              <w:t>卸载</w:t>
            </w:r>
            <w:r>
              <w:rPr>
                <w:i/>
              </w:rPr>
              <w:t>L</w:t>
            </w:r>
          </w:p>
        </w:tc>
        <w:tc>
          <w:tcPr>
            <w:tcW w:w="1135" w:type="pct"/>
          </w:tcPr>
          <w:p w14:paraId="2EFE1CD0">
            <w:pPr>
              <w:spacing w:line="320" w:lineRule="exact"/>
              <w:jc w:val="center"/>
            </w:pPr>
          </w:p>
        </w:tc>
        <w:tc>
          <w:tcPr>
            <w:tcW w:w="1265" w:type="pct"/>
          </w:tcPr>
          <w:p w14:paraId="65A421AA">
            <w:pPr>
              <w:spacing w:line="320" w:lineRule="exact"/>
              <w:jc w:val="center"/>
            </w:pPr>
          </w:p>
        </w:tc>
        <w:tc>
          <w:tcPr>
            <w:tcW w:w="1336" w:type="pct"/>
          </w:tcPr>
          <w:p w14:paraId="64AC693F">
            <w:pPr>
              <w:spacing w:line="320" w:lineRule="exact"/>
              <w:jc w:val="center"/>
            </w:pPr>
          </w:p>
        </w:tc>
      </w:tr>
      <w:tr w14:paraId="699193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trPr>
        <w:tc>
          <w:tcPr>
            <w:tcW w:w="1264" w:type="pct"/>
            <w:tcBorders>
              <w:top w:val="single" w:color="auto" w:sz="4" w:space="0"/>
              <w:left w:val="single" w:color="auto" w:sz="4" w:space="0"/>
              <w:bottom w:val="single" w:color="auto" w:sz="4" w:space="0"/>
              <w:right w:val="single" w:color="auto" w:sz="4" w:space="0"/>
            </w:tcBorders>
          </w:tcPr>
          <w:p w14:paraId="7045E007">
            <w:pPr>
              <w:spacing w:line="320" w:lineRule="exact"/>
              <w:ind w:left="0"/>
            </w:pPr>
            <w:r>
              <w:rPr>
                <w:rFonts w:hint="eastAsia"/>
              </w:rPr>
              <w:t>7</w:t>
            </w:r>
            <w:r>
              <w:t xml:space="preserve"> </w:t>
            </w:r>
            <w:r>
              <w:rPr>
                <w:rFonts w:hint="eastAsia"/>
              </w:rPr>
              <w:t>加载物料</w:t>
            </w:r>
          </w:p>
        </w:tc>
        <w:tc>
          <w:tcPr>
            <w:tcW w:w="1135" w:type="pct"/>
            <w:tcBorders>
              <w:top w:val="single" w:color="auto" w:sz="4" w:space="0"/>
              <w:left w:val="single" w:color="auto" w:sz="4" w:space="0"/>
              <w:bottom w:val="single" w:color="auto" w:sz="4" w:space="0"/>
              <w:right w:val="single" w:color="auto" w:sz="4" w:space="0"/>
            </w:tcBorders>
          </w:tcPr>
          <w:p w14:paraId="43B0694C">
            <w:pPr>
              <w:spacing w:line="320" w:lineRule="exact"/>
              <w:jc w:val="center"/>
            </w:pPr>
          </w:p>
        </w:tc>
        <w:tc>
          <w:tcPr>
            <w:tcW w:w="1265" w:type="pct"/>
            <w:tcBorders>
              <w:top w:val="single" w:color="auto" w:sz="4" w:space="0"/>
              <w:left w:val="single" w:color="auto" w:sz="4" w:space="0"/>
              <w:bottom w:val="single" w:color="auto" w:sz="4" w:space="0"/>
              <w:right w:val="single" w:color="auto" w:sz="4" w:space="0"/>
            </w:tcBorders>
          </w:tcPr>
          <w:p w14:paraId="61C47315">
            <w:pPr>
              <w:spacing w:line="320" w:lineRule="exact"/>
              <w:jc w:val="center"/>
            </w:pPr>
          </w:p>
        </w:tc>
        <w:tc>
          <w:tcPr>
            <w:tcW w:w="1336" w:type="pct"/>
            <w:tcBorders>
              <w:top w:val="single" w:color="auto" w:sz="4" w:space="0"/>
              <w:left w:val="single" w:color="auto" w:sz="4" w:space="0"/>
              <w:bottom w:val="single" w:color="auto" w:sz="4" w:space="0"/>
              <w:right w:val="single" w:color="auto" w:sz="4" w:space="0"/>
            </w:tcBorders>
          </w:tcPr>
          <w:p w14:paraId="487FCABD">
            <w:pPr>
              <w:spacing w:line="320" w:lineRule="exact"/>
              <w:jc w:val="center"/>
            </w:pPr>
          </w:p>
        </w:tc>
      </w:tr>
      <w:tr w14:paraId="3585B2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trPr>
        <w:tc>
          <w:tcPr>
            <w:tcW w:w="1264" w:type="pct"/>
            <w:tcBorders>
              <w:top w:val="single" w:color="auto" w:sz="4" w:space="0"/>
              <w:left w:val="single" w:color="auto" w:sz="4" w:space="0"/>
              <w:bottom w:val="single" w:color="auto" w:sz="4" w:space="0"/>
              <w:right w:val="single" w:color="auto" w:sz="4" w:space="0"/>
            </w:tcBorders>
          </w:tcPr>
          <w:p w14:paraId="10E38CDD">
            <w:pPr>
              <w:spacing w:line="320" w:lineRule="exact"/>
              <w:ind w:left="0" w:firstLine="240" w:firstLineChars="100"/>
            </w:pPr>
            <w:r>
              <w:rPr>
                <w:rFonts w:hint="eastAsia"/>
              </w:rPr>
              <w:t>7</w:t>
            </w:r>
            <w:r>
              <w:t>.1</w:t>
            </w:r>
            <w:r>
              <w:rPr>
                <w:rFonts w:hint="eastAsia"/>
              </w:rPr>
              <w:t>加载</w:t>
            </w:r>
            <w:r>
              <w:rPr>
                <w:i/>
              </w:rPr>
              <w:t>L</w:t>
            </w:r>
          </w:p>
        </w:tc>
        <w:tc>
          <w:tcPr>
            <w:tcW w:w="1135" w:type="pct"/>
            <w:tcBorders>
              <w:top w:val="single" w:color="auto" w:sz="4" w:space="0"/>
              <w:left w:val="single" w:color="auto" w:sz="4" w:space="0"/>
              <w:bottom w:val="single" w:color="auto" w:sz="4" w:space="0"/>
              <w:right w:val="single" w:color="auto" w:sz="4" w:space="0"/>
            </w:tcBorders>
          </w:tcPr>
          <w:p w14:paraId="049FB781">
            <w:pPr>
              <w:spacing w:line="320" w:lineRule="exact"/>
              <w:jc w:val="center"/>
            </w:pPr>
          </w:p>
        </w:tc>
        <w:tc>
          <w:tcPr>
            <w:tcW w:w="1265" w:type="pct"/>
            <w:tcBorders>
              <w:top w:val="single" w:color="auto" w:sz="4" w:space="0"/>
              <w:left w:val="single" w:color="auto" w:sz="4" w:space="0"/>
              <w:bottom w:val="single" w:color="auto" w:sz="4" w:space="0"/>
              <w:right w:val="single" w:color="auto" w:sz="4" w:space="0"/>
            </w:tcBorders>
          </w:tcPr>
          <w:p w14:paraId="7E4F92B2">
            <w:pPr>
              <w:spacing w:line="320" w:lineRule="exact"/>
              <w:jc w:val="center"/>
            </w:pPr>
          </w:p>
        </w:tc>
        <w:tc>
          <w:tcPr>
            <w:tcW w:w="1336" w:type="pct"/>
            <w:tcBorders>
              <w:top w:val="single" w:color="auto" w:sz="4" w:space="0"/>
              <w:left w:val="single" w:color="auto" w:sz="4" w:space="0"/>
              <w:bottom w:val="single" w:color="auto" w:sz="4" w:space="0"/>
              <w:right w:val="single" w:color="auto" w:sz="4" w:space="0"/>
            </w:tcBorders>
          </w:tcPr>
          <w:p w14:paraId="4DBBB7C4">
            <w:pPr>
              <w:spacing w:line="320" w:lineRule="exact"/>
              <w:jc w:val="center"/>
            </w:pPr>
          </w:p>
        </w:tc>
      </w:tr>
      <w:tr w14:paraId="3E7188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trPr>
        <w:tc>
          <w:tcPr>
            <w:tcW w:w="1264" w:type="pct"/>
            <w:tcBorders>
              <w:top w:val="single" w:color="auto" w:sz="4" w:space="0"/>
              <w:left w:val="single" w:color="auto" w:sz="4" w:space="0"/>
              <w:bottom w:val="single" w:color="auto" w:sz="4" w:space="0"/>
              <w:right w:val="single" w:color="auto" w:sz="4" w:space="0"/>
            </w:tcBorders>
          </w:tcPr>
          <w:p w14:paraId="652ADDBC">
            <w:pPr>
              <w:spacing w:line="320" w:lineRule="exact"/>
              <w:ind w:left="0" w:firstLine="240" w:firstLineChars="100"/>
            </w:pPr>
            <w:r>
              <w:rPr>
                <w:rFonts w:hint="eastAsia"/>
              </w:rPr>
              <w:t>7</w:t>
            </w:r>
            <w:r>
              <w:t>.2</w:t>
            </w:r>
            <w:r>
              <w:rPr>
                <w:rFonts w:hint="eastAsia"/>
              </w:rPr>
              <w:t>卸载</w:t>
            </w:r>
            <w:r>
              <w:rPr>
                <w:i/>
              </w:rPr>
              <w:t>L</w:t>
            </w:r>
          </w:p>
        </w:tc>
        <w:tc>
          <w:tcPr>
            <w:tcW w:w="1135" w:type="pct"/>
            <w:tcBorders>
              <w:top w:val="single" w:color="auto" w:sz="4" w:space="0"/>
              <w:left w:val="single" w:color="auto" w:sz="4" w:space="0"/>
              <w:bottom w:val="single" w:color="auto" w:sz="4" w:space="0"/>
              <w:right w:val="single" w:color="auto" w:sz="4" w:space="0"/>
            </w:tcBorders>
          </w:tcPr>
          <w:p w14:paraId="38896A43">
            <w:pPr>
              <w:spacing w:line="320" w:lineRule="exact"/>
              <w:jc w:val="center"/>
            </w:pPr>
          </w:p>
        </w:tc>
        <w:tc>
          <w:tcPr>
            <w:tcW w:w="1265" w:type="pct"/>
            <w:tcBorders>
              <w:top w:val="single" w:color="auto" w:sz="4" w:space="0"/>
              <w:left w:val="single" w:color="auto" w:sz="4" w:space="0"/>
              <w:bottom w:val="single" w:color="auto" w:sz="4" w:space="0"/>
              <w:right w:val="single" w:color="auto" w:sz="4" w:space="0"/>
            </w:tcBorders>
          </w:tcPr>
          <w:p w14:paraId="0ABE5493">
            <w:pPr>
              <w:spacing w:line="320" w:lineRule="exact"/>
              <w:jc w:val="center"/>
            </w:pPr>
          </w:p>
        </w:tc>
        <w:tc>
          <w:tcPr>
            <w:tcW w:w="1336" w:type="pct"/>
            <w:tcBorders>
              <w:top w:val="single" w:color="auto" w:sz="4" w:space="0"/>
              <w:left w:val="single" w:color="auto" w:sz="4" w:space="0"/>
              <w:bottom w:val="single" w:color="auto" w:sz="4" w:space="0"/>
              <w:right w:val="single" w:color="auto" w:sz="4" w:space="0"/>
            </w:tcBorders>
          </w:tcPr>
          <w:p w14:paraId="42BF42C6">
            <w:pPr>
              <w:spacing w:line="320" w:lineRule="exact"/>
              <w:jc w:val="center"/>
            </w:pPr>
          </w:p>
        </w:tc>
      </w:tr>
    </w:tbl>
    <w:p w14:paraId="24958ADA">
      <w:pPr>
        <w:pStyle w:val="61"/>
        <w:spacing w:before="156" w:beforeLines="50" w:after="156" w:afterLines="50" w:line="360" w:lineRule="auto"/>
        <w:ind w:left="408" w:firstLine="0" w:firstLineChars="0"/>
        <w:rPr>
          <w:szCs w:val="21"/>
        </w:rPr>
      </w:pPr>
    </w:p>
    <w:p w14:paraId="17FC888B">
      <w:pPr>
        <w:pStyle w:val="61"/>
        <w:numPr>
          <w:ilvl w:val="0"/>
          <w:numId w:val="6"/>
        </w:numPr>
        <w:spacing w:before="156" w:beforeLines="50" w:after="156" w:afterLines="50" w:line="360" w:lineRule="auto"/>
        <w:ind w:left="408" w:hanging="408" w:hangingChars="170"/>
        <w:rPr>
          <w:szCs w:val="21"/>
        </w:rPr>
      </w:pPr>
      <w:r>
        <w:rPr>
          <w:rFonts w:hint="eastAsia"/>
        </w:rPr>
        <w:t>重复性</w:t>
      </w:r>
      <w:r>
        <w:t xml:space="preserve">  </w:t>
      </w:r>
      <w:r>
        <w:rPr>
          <w:rFonts w:hint="eastAsia"/>
        </w:rPr>
        <w:t>50%</w:t>
      </w:r>
      <w:r>
        <w:rPr>
          <w:rFonts w:hint="eastAsia"/>
          <w:iCs/>
        </w:rPr>
        <w:t>Max</w:t>
      </w:r>
      <w:r>
        <w:t>=</w:t>
      </w:r>
      <w:r>
        <w:rPr>
          <w:u w:val="single"/>
        </w:rPr>
        <w:t xml:space="preserve">            </w:t>
      </w:r>
      <w:r>
        <w:rPr>
          <w:rFonts w:hint="eastAsia"/>
        </w:rPr>
        <w:t>，</w:t>
      </w:r>
      <w:r>
        <w:rPr>
          <w:i/>
        </w:rPr>
        <w:t>E</w:t>
      </w:r>
      <w:r>
        <w:rPr>
          <w:vertAlign w:val="subscript"/>
        </w:rPr>
        <w:t>max</w:t>
      </w:r>
      <w:r>
        <w:t>-</w:t>
      </w:r>
      <w:r>
        <w:rPr>
          <w:i/>
        </w:rPr>
        <w:t>E</w:t>
      </w:r>
      <w:r>
        <w:rPr>
          <w:vertAlign w:val="subscript"/>
        </w:rPr>
        <w:t>min</w:t>
      </w:r>
      <w:r>
        <w:t xml:space="preserve">= </w:t>
      </w:r>
      <w:r>
        <w:rPr>
          <w:u w:val="single"/>
        </w:rPr>
        <w:t xml:space="preserve">         </w:t>
      </w:r>
      <w:r>
        <w:t xml:space="preserve"> </w:t>
      </w:r>
    </w:p>
    <w:tbl>
      <w:tblPr>
        <w:tblStyle w:val="21"/>
        <w:tblW w:w="491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73"/>
        <w:gridCol w:w="2480"/>
        <w:gridCol w:w="2151"/>
        <w:gridCol w:w="2155"/>
      </w:tblGrid>
      <w:tr w14:paraId="10E629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1413" w:type="pct"/>
            <w:vAlign w:val="center"/>
          </w:tcPr>
          <w:p w14:paraId="4E0EEA94">
            <w:pPr>
              <w:spacing w:line="320" w:lineRule="exact"/>
              <w:jc w:val="center"/>
            </w:pPr>
            <w:r>
              <w:rPr>
                <w:rFonts w:hint="eastAsia"/>
              </w:rPr>
              <w:t>载荷</w:t>
            </w:r>
          </w:p>
        </w:tc>
        <w:tc>
          <w:tcPr>
            <w:tcW w:w="1311" w:type="pct"/>
            <w:vAlign w:val="center"/>
          </w:tcPr>
          <w:p w14:paraId="2D49FE71">
            <w:pPr>
              <w:spacing w:line="320" w:lineRule="exact"/>
              <w:jc w:val="center"/>
            </w:pPr>
            <w:r>
              <w:rPr>
                <w:rFonts w:hint="eastAsia"/>
              </w:rPr>
              <w:t>示值</w:t>
            </w:r>
            <w:r>
              <w:rPr>
                <w:rFonts w:hint="eastAsia"/>
                <w:i/>
              </w:rPr>
              <w:t xml:space="preserve">I </w:t>
            </w:r>
            <w:r>
              <w:rPr>
                <w:rFonts w:hint="eastAsia"/>
              </w:rPr>
              <w:t>(   )</w:t>
            </w:r>
          </w:p>
        </w:tc>
        <w:tc>
          <w:tcPr>
            <w:tcW w:w="1137" w:type="pct"/>
            <w:vAlign w:val="center"/>
          </w:tcPr>
          <w:p w14:paraId="0AB30441">
            <w:pPr>
              <w:spacing w:line="320" w:lineRule="exact"/>
              <w:jc w:val="center"/>
            </w:pPr>
            <w:r>
              <w:rPr>
                <w:rFonts w:hint="eastAsia"/>
              </w:rPr>
              <w:t>附加砝码</w:t>
            </w:r>
            <w:r>
              <w:rPr>
                <w:rFonts w:hint="eastAsia" w:eastAsia="Batang"/>
              </w:rPr>
              <w:t>∆</w:t>
            </w:r>
            <w:r>
              <w:rPr>
                <w:rFonts w:hint="eastAsia"/>
                <w:i/>
              </w:rPr>
              <w:t>L</w:t>
            </w:r>
          </w:p>
          <w:p w14:paraId="10B6E4DE">
            <w:pPr>
              <w:spacing w:line="320" w:lineRule="exact"/>
              <w:jc w:val="center"/>
            </w:pPr>
            <w:r>
              <w:rPr>
                <w:rFonts w:hint="eastAsia"/>
              </w:rPr>
              <w:t>(   )</w:t>
            </w:r>
          </w:p>
        </w:tc>
        <w:tc>
          <w:tcPr>
            <w:tcW w:w="1139" w:type="pct"/>
            <w:vAlign w:val="center"/>
          </w:tcPr>
          <w:p w14:paraId="5376D56A">
            <w:pPr>
              <w:spacing w:line="320" w:lineRule="exact"/>
              <w:jc w:val="center"/>
              <w:rPr>
                <w:rFonts w:eastAsia="Batang"/>
              </w:rPr>
            </w:pPr>
            <w:r>
              <w:rPr>
                <w:rFonts w:hint="eastAsia"/>
              </w:rPr>
              <w:t>误差</w:t>
            </w:r>
            <w:r>
              <w:rPr>
                <w:rFonts w:hint="eastAsia"/>
                <w:i/>
              </w:rPr>
              <w:t>E</w:t>
            </w:r>
            <w:r>
              <w:rPr>
                <w:rFonts w:hint="eastAsia"/>
              </w:rPr>
              <w:t xml:space="preserve">( </w:t>
            </w:r>
            <w:r>
              <w:rPr>
                <w:rFonts w:hint="eastAsia"/>
                <w:i/>
              </w:rPr>
              <w:t xml:space="preserve"> </w:t>
            </w:r>
            <w:r>
              <w:rPr>
                <w:rFonts w:hint="eastAsia"/>
              </w:rPr>
              <w:t>)</w:t>
            </w:r>
          </w:p>
        </w:tc>
      </w:tr>
      <w:tr w14:paraId="02F40A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8" w:hRule="atLeast"/>
        </w:trPr>
        <w:tc>
          <w:tcPr>
            <w:tcW w:w="1413" w:type="pct"/>
          </w:tcPr>
          <w:p w14:paraId="68C9BC70">
            <w:pPr>
              <w:pStyle w:val="61"/>
              <w:numPr>
                <w:ilvl w:val="0"/>
                <w:numId w:val="7"/>
              </w:numPr>
              <w:spacing w:line="320" w:lineRule="exact"/>
              <w:ind w:firstLineChars="0"/>
            </w:pPr>
            <w:r>
              <w:rPr>
                <w:rFonts w:hint="eastAsia"/>
              </w:rPr>
              <w:t>50%</w:t>
            </w:r>
            <w:r>
              <w:rPr>
                <w:rFonts w:hint="eastAsia"/>
                <w:iCs/>
              </w:rPr>
              <w:t>Max</w:t>
            </w:r>
          </w:p>
        </w:tc>
        <w:tc>
          <w:tcPr>
            <w:tcW w:w="1311" w:type="pct"/>
            <w:vAlign w:val="center"/>
          </w:tcPr>
          <w:p w14:paraId="1E4F115F">
            <w:pPr>
              <w:spacing w:line="320" w:lineRule="exact"/>
              <w:jc w:val="center"/>
            </w:pPr>
          </w:p>
        </w:tc>
        <w:tc>
          <w:tcPr>
            <w:tcW w:w="1137" w:type="pct"/>
            <w:vAlign w:val="center"/>
          </w:tcPr>
          <w:p w14:paraId="5A5A2694">
            <w:pPr>
              <w:spacing w:line="320" w:lineRule="exact"/>
              <w:jc w:val="center"/>
            </w:pPr>
          </w:p>
        </w:tc>
        <w:tc>
          <w:tcPr>
            <w:tcW w:w="1139" w:type="pct"/>
            <w:vAlign w:val="center"/>
          </w:tcPr>
          <w:p w14:paraId="4F86D707">
            <w:pPr>
              <w:spacing w:line="320" w:lineRule="exact"/>
              <w:jc w:val="center"/>
            </w:pPr>
          </w:p>
        </w:tc>
      </w:tr>
      <w:tr w14:paraId="5C0E13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3" w:hRule="atLeast"/>
        </w:trPr>
        <w:tc>
          <w:tcPr>
            <w:tcW w:w="1413" w:type="pct"/>
          </w:tcPr>
          <w:p w14:paraId="67448E7E">
            <w:pPr>
              <w:spacing w:line="320" w:lineRule="exact"/>
              <w:ind w:left="0" w:firstLine="240" w:firstLineChars="100"/>
            </w:pPr>
            <w:r>
              <w:rPr>
                <w:rFonts w:hint="eastAsia"/>
              </w:rPr>
              <w:t>1.1加载</w:t>
            </w:r>
            <w:r>
              <w:rPr>
                <w:rFonts w:hint="eastAsia"/>
                <w:i/>
              </w:rPr>
              <w:t>L</w:t>
            </w:r>
          </w:p>
        </w:tc>
        <w:tc>
          <w:tcPr>
            <w:tcW w:w="1311" w:type="pct"/>
            <w:vAlign w:val="center"/>
          </w:tcPr>
          <w:p w14:paraId="4C1B737B">
            <w:pPr>
              <w:spacing w:line="320" w:lineRule="exact"/>
              <w:jc w:val="center"/>
            </w:pPr>
          </w:p>
        </w:tc>
        <w:tc>
          <w:tcPr>
            <w:tcW w:w="1137" w:type="pct"/>
            <w:vAlign w:val="center"/>
          </w:tcPr>
          <w:p w14:paraId="542A2241">
            <w:pPr>
              <w:spacing w:line="320" w:lineRule="exact"/>
              <w:jc w:val="center"/>
            </w:pPr>
          </w:p>
        </w:tc>
        <w:tc>
          <w:tcPr>
            <w:tcW w:w="1139" w:type="pct"/>
            <w:vAlign w:val="center"/>
          </w:tcPr>
          <w:p w14:paraId="6F70F904">
            <w:pPr>
              <w:spacing w:line="320" w:lineRule="exact"/>
              <w:jc w:val="center"/>
            </w:pPr>
          </w:p>
        </w:tc>
      </w:tr>
      <w:tr w14:paraId="492063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8" w:hRule="atLeast"/>
        </w:trPr>
        <w:tc>
          <w:tcPr>
            <w:tcW w:w="1413" w:type="pct"/>
          </w:tcPr>
          <w:p w14:paraId="23188BFC">
            <w:pPr>
              <w:spacing w:line="320" w:lineRule="exact"/>
              <w:ind w:left="0" w:firstLine="240" w:firstLineChars="100"/>
            </w:pPr>
            <w:r>
              <w:rPr>
                <w:rFonts w:hint="eastAsia"/>
              </w:rPr>
              <w:t>1.2卸载</w:t>
            </w:r>
            <w:r>
              <w:rPr>
                <w:rFonts w:hint="eastAsia"/>
                <w:i/>
              </w:rPr>
              <w:t>L</w:t>
            </w:r>
          </w:p>
        </w:tc>
        <w:tc>
          <w:tcPr>
            <w:tcW w:w="1311" w:type="pct"/>
            <w:vAlign w:val="center"/>
          </w:tcPr>
          <w:p w14:paraId="7FBF1736">
            <w:pPr>
              <w:spacing w:line="320" w:lineRule="exact"/>
              <w:jc w:val="center"/>
            </w:pPr>
          </w:p>
        </w:tc>
        <w:tc>
          <w:tcPr>
            <w:tcW w:w="1137" w:type="pct"/>
            <w:vAlign w:val="center"/>
          </w:tcPr>
          <w:p w14:paraId="60EA7C8F">
            <w:pPr>
              <w:spacing w:line="320" w:lineRule="exact"/>
              <w:jc w:val="center"/>
            </w:pPr>
          </w:p>
        </w:tc>
        <w:tc>
          <w:tcPr>
            <w:tcW w:w="1139" w:type="pct"/>
            <w:vAlign w:val="center"/>
          </w:tcPr>
          <w:p w14:paraId="1EB9633A">
            <w:pPr>
              <w:spacing w:line="320" w:lineRule="exact"/>
              <w:jc w:val="center"/>
            </w:pPr>
          </w:p>
        </w:tc>
      </w:tr>
      <w:tr w14:paraId="2731CA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3" w:hRule="atLeast"/>
        </w:trPr>
        <w:tc>
          <w:tcPr>
            <w:tcW w:w="1413" w:type="pct"/>
          </w:tcPr>
          <w:p w14:paraId="7A92ADF3">
            <w:pPr>
              <w:spacing w:line="320" w:lineRule="exact"/>
              <w:ind w:left="0" w:firstLine="240" w:firstLineChars="100"/>
            </w:pPr>
            <w:r>
              <w:rPr>
                <w:rFonts w:hint="eastAsia"/>
              </w:rPr>
              <w:t>2</w:t>
            </w:r>
            <w:r>
              <w:t>.1</w:t>
            </w:r>
            <w:r>
              <w:rPr>
                <w:rFonts w:hint="eastAsia"/>
              </w:rPr>
              <w:t>加载</w:t>
            </w:r>
            <w:r>
              <w:rPr>
                <w:rFonts w:hint="eastAsia"/>
                <w:i/>
              </w:rPr>
              <w:t>L</w:t>
            </w:r>
          </w:p>
        </w:tc>
        <w:tc>
          <w:tcPr>
            <w:tcW w:w="1311" w:type="pct"/>
            <w:vAlign w:val="center"/>
          </w:tcPr>
          <w:p w14:paraId="68283850">
            <w:pPr>
              <w:spacing w:line="320" w:lineRule="exact"/>
              <w:jc w:val="center"/>
            </w:pPr>
          </w:p>
        </w:tc>
        <w:tc>
          <w:tcPr>
            <w:tcW w:w="1137" w:type="pct"/>
            <w:vAlign w:val="center"/>
          </w:tcPr>
          <w:p w14:paraId="6A054AC6">
            <w:pPr>
              <w:spacing w:line="320" w:lineRule="exact"/>
              <w:jc w:val="center"/>
            </w:pPr>
          </w:p>
        </w:tc>
        <w:tc>
          <w:tcPr>
            <w:tcW w:w="1139" w:type="pct"/>
            <w:vAlign w:val="center"/>
          </w:tcPr>
          <w:p w14:paraId="6812757A">
            <w:pPr>
              <w:spacing w:line="320" w:lineRule="exact"/>
              <w:jc w:val="center"/>
            </w:pPr>
          </w:p>
        </w:tc>
      </w:tr>
      <w:tr w14:paraId="2B1D96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8" w:hRule="atLeast"/>
        </w:trPr>
        <w:tc>
          <w:tcPr>
            <w:tcW w:w="1413" w:type="pct"/>
          </w:tcPr>
          <w:p w14:paraId="3C35298B">
            <w:pPr>
              <w:spacing w:line="320" w:lineRule="exact"/>
              <w:ind w:left="0" w:firstLine="240" w:firstLineChars="100"/>
            </w:pPr>
            <w:r>
              <w:rPr>
                <w:rFonts w:hint="eastAsia"/>
              </w:rPr>
              <w:t>2</w:t>
            </w:r>
            <w:r>
              <w:t>.2</w:t>
            </w:r>
            <w:r>
              <w:rPr>
                <w:rFonts w:hint="eastAsia"/>
              </w:rPr>
              <w:t>卸载</w:t>
            </w:r>
            <w:r>
              <w:rPr>
                <w:rFonts w:hint="eastAsia"/>
                <w:i/>
              </w:rPr>
              <w:t>L</w:t>
            </w:r>
          </w:p>
        </w:tc>
        <w:tc>
          <w:tcPr>
            <w:tcW w:w="1311" w:type="pct"/>
            <w:vAlign w:val="center"/>
          </w:tcPr>
          <w:p w14:paraId="5E877F8D">
            <w:pPr>
              <w:spacing w:line="320" w:lineRule="exact"/>
              <w:jc w:val="center"/>
            </w:pPr>
          </w:p>
        </w:tc>
        <w:tc>
          <w:tcPr>
            <w:tcW w:w="1137" w:type="pct"/>
            <w:vAlign w:val="center"/>
          </w:tcPr>
          <w:p w14:paraId="0F353E0F">
            <w:pPr>
              <w:spacing w:line="320" w:lineRule="exact"/>
              <w:jc w:val="center"/>
            </w:pPr>
          </w:p>
        </w:tc>
        <w:tc>
          <w:tcPr>
            <w:tcW w:w="1139" w:type="pct"/>
            <w:vAlign w:val="center"/>
          </w:tcPr>
          <w:p w14:paraId="089A8644">
            <w:pPr>
              <w:spacing w:line="320" w:lineRule="exact"/>
              <w:jc w:val="center"/>
            </w:pPr>
          </w:p>
        </w:tc>
      </w:tr>
      <w:tr w14:paraId="48B802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3" w:hRule="atLeast"/>
        </w:trPr>
        <w:tc>
          <w:tcPr>
            <w:tcW w:w="1413" w:type="pct"/>
          </w:tcPr>
          <w:p w14:paraId="292D187F">
            <w:pPr>
              <w:spacing w:line="320" w:lineRule="exact"/>
              <w:ind w:left="0" w:firstLine="240" w:firstLineChars="100"/>
            </w:pPr>
            <w:r>
              <w:rPr>
                <w:rFonts w:hint="eastAsia"/>
              </w:rPr>
              <w:t>3</w:t>
            </w:r>
            <w:r>
              <w:t>.1</w:t>
            </w:r>
            <w:r>
              <w:rPr>
                <w:rFonts w:hint="eastAsia"/>
              </w:rPr>
              <w:t>加载</w:t>
            </w:r>
            <w:r>
              <w:rPr>
                <w:i/>
              </w:rPr>
              <w:t>L</w:t>
            </w:r>
          </w:p>
        </w:tc>
        <w:tc>
          <w:tcPr>
            <w:tcW w:w="1311" w:type="pct"/>
            <w:vAlign w:val="center"/>
          </w:tcPr>
          <w:p w14:paraId="42118452">
            <w:pPr>
              <w:spacing w:line="320" w:lineRule="exact"/>
              <w:jc w:val="center"/>
            </w:pPr>
          </w:p>
        </w:tc>
        <w:tc>
          <w:tcPr>
            <w:tcW w:w="1137" w:type="pct"/>
            <w:vAlign w:val="center"/>
          </w:tcPr>
          <w:p w14:paraId="350E22DE">
            <w:pPr>
              <w:spacing w:line="320" w:lineRule="exact"/>
              <w:jc w:val="center"/>
            </w:pPr>
          </w:p>
        </w:tc>
        <w:tc>
          <w:tcPr>
            <w:tcW w:w="1139" w:type="pct"/>
            <w:vAlign w:val="center"/>
          </w:tcPr>
          <w:p w14:paraId="7A5C79C2">
            <w:pPr>
              <w:spacing w:line="320" w:lineRule="exact"/>
              <w:jc w:val="center"/>
            </w:pPr>
          </w:p>
        </w:tc>
      </w:tr>
      <w:tr w14:paraId="28B2F6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8" w:hRule="atLeast"/>
        </w:trPr>
        <w:tc>
          <w:tcPr>
            <w:tcW w:w="1413" w:type="pct"/>
          </w:tcPr>
          <w:p w14:paraId="5653783C">
            <w:pPr>
              <w:spacing w:line="320" w:lineRule="exact"/>
              <w:ind w:left="0" w:firstLine="240" w:firstLineChars="100"/>
            </w:pPr>
            <w:r>
              <w:rPr>
                <w:rFonts w:hint="eastAsia"/>
              </w:rPr>
              <w:t>3</w:t>
            </w:r>
            <w:r>
              <w:t>.2</w:t>
            </w:r>
            <w:r>
              <w:rPr>
                <w:rFonts w:hint="eastAsia"/>
              </w:rPr>
              <w:t>卸载</w:t>
            </w:r>
            <w:r>
              <w:rPr>
                <w:i/>
              </w:rPr>
              <w:t>L</w:t>
            </w:r>
          </w:p>
        </w:tc>
        <w:tc>
          <w:tcPr>
            <w:tcW w:w="1311" w:type="pct"/>
            <w:vAlign w:val="center"/>
          </w:tcPr>
          <w:p w14:paraId="5B38715C">
            <w:pPr>
              <w:spacing w:line="320" w:lineRule="exact"/>
              <w:jc w:val="center"/>
            </w:pPr>
          </w:p>
        </w:tc>
        <w:tc>
          <w:tcPr>
            <w:tcW w:w="1137" w:type="pct"/>
            <w:vAlign w:val="center"/>
          </w:tcPr>
          <w:p w14:paraId="1F61AEEA">
            <w:pPr>
              <w:spacing w:line="320" w:lineRule="exact"/>
              <w:jc w:val="center"/>
            </w:pPr>
          </w:p>
        </w:tc>
        <w:tc>
          <w:tcPr>
            <w:tcW w:w="1139" w:type="pct"/>
            <w:vAlign w:val="center"/>
          </w:tcPr>
          <w:p w14:paraId="01800E58">
            <w:pPr>
              <w:spacing w:line="320" w:lineRule="exact"/>
              <w:jc w:val="center"/>
            </w:pPr>
          </w:p>
        </w:tc>
      </w:tr>
    </w:tbl>
    <w:p w14:paraId="74A56142">
      <w:pPr>
        <w:ind w:left="0"/>
        <w:rPr>
          <w:szCs w:val="21"/>
        </w:rPr>
      </w:pPr>
    </w:p>
    <w:p w14:paraId="07911143">
      <w:pPr>
        <w:pStyle w:val="61"/>
        <w:numPr>
          <w:ilvl w:val="0"/>
          <w:numId w:val="6"/>
        </w:numPr>
        <w:spacing w:before="156" w:beforeLines="50" w:after="156" w:afterLines="50" w:line="360" w:lineRule="auto"/>
        <w:ind w:left="408" w:hanging="408" w:hangingChars="170"/>
        <w:rPr>
          <w:szCs w:val="21"/>
        </w:rPr>
      </w:pPr>
      <w:r>
        <w:rPr>
          <w:rFonts w:cs="Courier New"/>
          <w:shd w:val="clear" w:color="auto" w:fill="FFFFFF"/>
        </w:rPr>
        <w:t>同</w:t>
      </w:r>
      <w:r>
        <w:rPr>
          <w:rFonts w:cs="Arial"/>
          <w:shd w:val="clear" w:color="auto" w:fill="FFFFFF"/>
        </w:rPr>
        <w:t>一载荷在不</w:t>
      </w:r>
      <w:r>
        <w:rPr>
          <w:rFonts w:cs="Courier New"/>
          <w:shd w:val="clear" w:color="auto" w:fill="FFFFFF"/>
        </w:rPr>
        <w:t>同</w:t>
      </w:r>
      <w:r>
        <w:rPr>
          <w:rFonts w:cs="Arial"/>
          <w:shd w:val="clear" w:color="auto" w:fill="FFFFFF"/>
        </w:rPr>
        <w:t>位置的示值误差（</w:t>
      </w:r>
      <w:r>
        <w:rPr>
          <w:rFonts w:cs="Courier New"/>
          <w:shd w:val="clear" w:color="auto" w:fill="FFFFFF"/>
        </w:rPr>
        <w:t>若</w:t>
      </w:r>
      <w:r>
        <w:rPr>
          <w:rFonts w:cs="Arial"/>
          <w:shd w:val="clear" w:color="auto" w:fill="FFFFFF"/>
        </w:rPr>
        <w:t>适用）</w:t>
      </w:r>
      <w:r>
        <w:rPr>
          <w:rFonts w:hint="eastAsia" w:cs="Arial"/>
          <w:shd w:val="clear" w:color="auto" w:fill="FFFFFF"/>
        </w:rPr>
        <w:t xml:space="preserve">  </w:t>
      </w:r>
      <w:r>
        <w:t xml:space="preserve"> </w:t>
      </w:r>
      <w:r>
        <w:rPr>
          <w:position w:val="-14"/>
        </w:rPr>
        <w:object>
          <v:shape id="_x0000_i1092" o:spt="75" type="#_x0000_t75" style="height:20pt;width:102pt;" o:ole="t" filled="f" o:preferrelative="t" stroked="f" coordsize="21600,21600">
            <v:path/>
            <v:fill on="f" focussize="0,0"/>
            <v:stroke on="f" joinstyle="miter"/>
            <v:imagedata r:id="rId140" o:title=""/>
            <o:lock v:ext="edit" aspectratio="t"/>
            <w10:wrap type="none"/>
            <w10:anchorlock/>
          </v:shape>
          <o:OLEObject Type="Embed" ProgID="Equation.DSMT4" ShapeID="_x0000_i1092" DrawAspect="Content" ObjectID="_1468075792" r:id="rId142">
            <o:LockedField>false</o:LockedField>
          </o:OLEObject>
        </w:object>
      </w:r>
      <w:r>
        <w:rPr>
          <w:u w:val="single"/>
        </w:rPr>
        <w:t xml:space="preserve">         </w:t>
      </w:r>
      <w:r>
        <w:t xml:space="preserve"> </w:t>
      </w:r>
    </w:p>
    <w:tbl>
      <w:tblPr>
        <w:tblStyle w:val="21"/>
        <w:tblW w:w="491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76"/>
        <w:gridCol w:w="2484"/>
        <w:gridCol w:w="2154"/>
        <w:gridCol w:w="2158"/>
      </w:tblGrid>
      <w:tr w14:paraId="7ABA89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 w:hRule="atLeast"/>
        </w:trPr>
        <w:tc>
          <w:tcPr>
            <w:tcW w:w="1413" w:type="pct"/>
            <w:tcBorders>
              <w:top w:val="single" w:color="auto" w:sz="4" w:space="0"/>
              <w:left w:val="single" w:color="auto" w:sz="4" w:space="0"/>
              <w:bottom w:val="single" w:color="auto" w:sz="4" w:space="0"/>
              <w:right w:val="single" w:color="auto" w:sz="4" w:space="0"/>
            </w:tcBorders>
            <w:vAlign w:val="center"/>
          </w:tcPr>
          <w:p w14:paraId="634FDEFA">
            <w:pPr>
              <w:spacing w:line="320" w:lineRule="exact"/>
              <w:jc w:val="center"/>
            </w:pPr>
            <w:r>
              <w:rPr>
                <w:rFonts w:hint="eastAsia"/>
              </w:rPr>
              <w:t>偏载位置</w:t>
            </w:r>
          </w:p>
        </w:tc>
        <w:tc>
          <w:tcPr>
            <w:tcW w:w="1311" w:type="pct"/>
            <w:tcBorders>
              <w:top w:val="single" w:color="auto" w:sz="4" w:space="0"/>
              <w:left w:val="single" w:color="auto" w:sz="4" w:space="0"/>
              <w:bottom w:val="single" w:color="auto" w:sz="4" w:space="0"/>
              <w:right w:val="single" w:color="auto" w:sz="4" w:space="0"/>
            </w:tcBorders>
            <w:vAlign w:val="center"/>
          </w:tcPr>
          <w:p w14:paraId="0A29FA09">
            <w:pPr>
              <w:spacing w:line="320" w:lineRule="exact"/>
              <w:jc w:val="center"/>
            </w:pPr>
            <w:r>
              <w:rPr>
                <w:rFonts w:hint="eastAsia"/>
              </w:rPr>
              <w:t>示值</w:t>
            </w:r>
            <w:r>
              <w:rPr>
                <w:i/>
              </w:rPr>
              <w:t xml:space="preserve">I </w:t>
            </w:r>
            <w:r>
              <w:t xml:space="preserve">( </w:t>
            </w:r>
            <w:r>
              <w:rPr>
                <w:rFonts w:hint="eastAsia"/>
              </w:rPr>
              <w:t xml:space="preserve"> </w:t>
            </w:r>
            <w:r>
              <w:t xml:space="preserve"> )</w:t>
            </w:r>
          </w:p>
        </w:tc>
        <w:tc>
          <w:tcPr>
            <w:tcW w:w="1137" w:type="pct"/>
            <w:tcBorders>
              <w:top w:val="single" w:color="auto" w:sz="4" w:space="0"/>
              <w:left w:val="single" w:color="auto" w:sz="4" w:space="0"/>
              <w:bottom w:val="single" w:color="auto" w:sz="4" w:space="0"/>
              <w:right w:val="single" w:color="auto" w:sz="4" w:space="0"/>
            </w:tcBorders>
            <w:vAlign w:val="center"/>
          </w:tcPr>
          <w:p w14:paraId="0769DD40">
            <w:pPr>
              <w:spacing w:line="320" w:lineRule="exact"/>
              <w:jc w:val="center"/>
            </w:pPr>
            <w:r>
              <w:rPr>
                <w:rFonts w:hint="eastAsia"/>
              </w:rPr>
              <w:t>附加砝码</w:t>
            </w:r>
            <w:r>
              <w:rPr>
                <w:rFonts w:hint="eastAsia" w:eastAsia="Batang"/>
              </w:rPr>
              <w:t>∆</w:t>
            </w:r>
            <w:r>
              <w:rPr>
                <w:i/>
              </w:rPr>
              <w:t>L</w:t>
            </w:r>
          </w:p>
          <w:p w14:paraId="035999A6">
            <w:pPr>
              <w:spacing w:line="320" w:lineRule="exact"/>
              <w:jc w:val="center"/>
            </w:pPr>
            <w:r>
              <w:t>(   )</w:t>
            </w:r>
          </w:p>
        </w:tc>
        <w:tc>
          <w:tcPr>
            <w:tcW w:w="1139" w:type="pct"/>
            <w:tcBorders>
              <w:top w:val="single" w:color="auto" w:sz="4" w:space="0"/>
              <w:left w:val="single" w:color="auto" w:sz="4" w:space="0"/>
              <w:bottom w:val="single" w:color="auto" w:sz="4" w:space="0"/>
              <w:right w:val="single" w:color="auto" w:sz="4" w:space="0"/>
            </w:tcBorders>
            <w:vAlign w:val="center"/>
          </w:tcPr>
          <w:p w14:paraId="1F682E07">
            <w:pPr>
              <w:spacing w:line="320" w:lineRule="exact"/>
              <w:jc w:val="center"/>
              <w:rPr>
                <w:rFonts w:eastAsia="Batang"/>
              </w:rPr>
            </w:pPr>
            <w:r>
              <w:rPr>
                <w:rFonts w:hint="eastAsia"/>
              </w:rPr>
              <w:t>误差</w:t>
            </w:r>
            <w:r>
              <w:rPr>
                <w:i/>
              </w:rPr>
              <w:t>E</w:t>
            </w:r>
            <w:r>
              <w:t xml:space="preserve">( </w:t>
            </w:r>
            <w:r>
              <w:rPr>
                <w:i/>
              </w:rPr>
              <w:t xml:space="preserve"> </w:t>
            </w:r>
            <w:r>
              <w:t>)</w:t>
            </w:r>
          </w:p>
        </w:tc>
      </w:tr>
      <w:tr w14:paraId="19025E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trPr>
        <w:tc>
          <w:tcPr>
            <w:tcW w:w="1413" w:type="pct"/>
            <w:tcBorders>
              <w:top w:val="single" w:color="auto" w:sz="4" w:space="0"/>
              <w:left w:val="single" w:color="auto" w:sz="4" w:space="0"/>
              <w:bottom w:val="single" w:color="auto" w:sz="4" w:space="0"/>
              <w:right w:val="single" w:color="auto" w:sz="4" w:space="0"/>
            </w:tcBorders>
          </w:tcPr>
          <w:p w14:paraId="61312E40">
            <w:pPr>
              <w:pStyle w:val="61"/>
              <w:numPr>
                <w:ilvl w:val="0"/>
                <w:numId w:val="8"/>
              </w:numPr>
              <w:spacing w:line="320" w:lineRule="exact"/>
              <w:ind w:firstLineChars="0"/>
            </w:pPr>
            <w:r>
              <w:rPr>
                <w:rFonts w:hint="eastAsia"/>
              </w:rPr>
              <w:t>30%</w:t>
            </w:r>
            <w:r>
              <w:rPr>
                <w:rFonts w:hint="eastAsia"/>
                <w:iCs/>
              </w:rPr>
              <w:t>Max</w:t>
            </w:r>
          </w:p>
        </w:tc>
        <w:tc>
          <w:tcPr>
            <w:tcW w:w="1311" w:type="pct"/>
            <w:tcBorders>
              <w:top w:val="single" w:color="auto" w:sz="4" w:space="0"/>
              <w:left w:val="single" w:color="auto" w:sz="4" w:space="0"/>
              <w:bottom w:val="single" w:color="auto" w:sz="4" w:space="0"/>
              <w:right w:val="single" w:color="auto" w:sz="4" w:space="0"/>
            </w:tcBorders>
            <w:vAlign w:val="center"/>
          </w:tcPr>
          <w:p w14:paraId="36C835C7">
            <w:pPr>
              <w:spacing w:line="320" w:lineRule="exact"/>
              <w:jc w:val="center"/>
            </w:pPr>
          </w:p>
        </w:tc>
        <w:tc>
          <w:tcPr>
            <w:tcW w:w="1137" w:type="pct"/>
            <w:tcBorders>
              <w:top w:val="single" w:color="auto" w:sz="4" w:space="0"/>
              <w:left w:val="single" w:color="auto" w:sz="4" w:space="0"/>
              <w:bottom w:val="single" w:color="auto" w:sz="4" w:space="0"/>
              <w:right w:val="single" w:color="auto" w:sz="4" w:space="0"/>
            </w:tcBorders>
            <w:vAlign w:val="center"/>
          </w:tcPr>
          <w:p w14:paraId="39C3D5AE">
            <w:pPr>
              <w:spacing w:line="320" w:lineRule="exact"/>
              <w:jc w:val="center"/>
            </w:pPr>
          </w:p>
        </w:tc>
        <w:tc>
          <w:tcPr>
            <w:tcW w:w="1139" w:type="pct"/>
            <w:tcBorders>
              <w:top w:val="single" w:color="auto" w:sz="4" w:space="0"/>
              <w:left w:val="single" w:color="auto" w:sz="4" w:space="0"/>
              <w:bottom w:val="single" w:color="auto" w:sz="4" w:space="0"/>
              <w:right w:val="single" w:color="auto" w:sz="4" w:space="0"/>
            </w:tcBorders>
            <w:vAlign w:val="center"/>
          </w:tcPr>
          <w:p w14:paraId="28E94B81">
            <w:pPr>
              <w:spacing w:line="320" w:lineRule="exact"/>
              <w:jc w:val="center"/>
            </w:pPr>
          </w:p>
        </w:tc>
      </w:tr>
      <w:tr w14:paraId="4A05B2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6" w:hRule="atLeast"/>
        </w:trPr>
        <w:tc>
          <w:tcPr>
            <w:tcW w:w="1413" w:type="pct"/>
            <w:tcBorders>
              <w:top w:val="single" w:color="auto" w:sz="4" w:space="0"/>
              <w:left w:val="single" w:color="auto" w:sz="4" w:space="0"/>
              <w:bottom w:val="single" w:color="auto" w:sz="4" w:space="0"/>
              <w:right w:val="single" w:color="auto" w:sz="4" w:space="0"/>
            </w:tcBorders>
          </w:tcPr>
          <w:p w14:paraId="0AFB5DCD">
            <w:pPr>
              <w:spacing w:line="320" w:lineRule="exact"/>
              <w:ind w:left="0" w:firstLine="240" w:firstLineChars="100"/>
            </w:pPr>
            <w:r>
              <w:t>1.1</w:t>
            </w:r>
            <w:r>
              <w:rPr>
                <w:rFonts w:hint="eastAsia"/>
              </w:rPr>
              <w:t>加载</w:t>
            </w:r>
            <w:r>
              <w:rPr>
                <w:i/>
              </w:rPr>
              <w:t>L</w:t>
            </w:r>
          </w:p>
        </w:tc>
        <w:tc>
          <w:tcPr>
            <w:tcW w:w="1311" w:type="pct"/>
            <w:tcBorders>
              <w:top w:val="single" w:color="auto" w:sz="4" w:space="0"/>
              <w:left w:val="single" w:color="auto" w:sz="4" w:space="0"/>
              <w:bottom w:val="single" w:color="auto" w:sz="4" w:space="0"/>
              <w:right w:val="single" w:color="auto" w:sz="4" w:space="0"/>
            </w:tcBorders>
            <w:vAlign w:val="center"/>
          </w:tcPr>
          <w:p w14:paraId="684A42F5">
            <w:pPr>
              <w:spacing w:line="320" w:lineRule="exact"/>
              <w:jc w:val="center"/>
            </w:pPr>
          </w:p>
        </w:tc>
        <w:tc>
          <w:tcPr>
            <w:tcW w:w="1137" w:type="pct"/>
            <w:tcBorders>
              <w:top w:val="single" w:color="auto" w:sz="4" w:space="0"/>
              <w:left w:val="single" w:color="auto" w:sz="4" w:space="0"/>
              <w:bottom w:val="single" w:color="auto" w:sz="4" w:space="0"/>
              <w:right w:val="single" w:color="auto" w:sz="4" w:space="0"/>
            </w:tcBorders>
            <w:vAlign w:val="center"/>
          </w:tcPr>
          <w:p w14:paraId="03F7A7C5">
            <w:pPr>
              <w:spacing w:line="320" w:lineRule="exact"/>
              <w:jc w:val="center"/>
            </w:pPr>
          </w:p>
        </w:tc>
        <w:tc>
          <w:tcPr>
            <w:tcW w:w="1139" w:type="pct"/>
            <w:tcBorders>
              <w:top w:val="single" w:color="auto" w:sz="4" w:space="0"/>
              <w:left w:val="single" w:color="auto" w:sz="4" w:space="0"/>
              <w:bottom w:val="single" w:color="auto" w:sz="4" w:space="0"/>
              <w:right w:val="single" w:color="auto" w:sz="4" w:space="0"/>
            </w:tcBorders>
            <w:vAlign w:val="center"/>
          </w:tcPr>
          <w:p w14:paraId="4EEBE038">
            <w:pPr>
              <w:spacing w:line="320" w:lineRule="exact"/>
              <w:jc w:val="center"/>
            </w:pPr>
          </w:p>
        </w:tc>
      </w:tr>
      <w:tr w14:paraId="42B9F5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trPr>
        <w:tc>
          <w:tcPr>
            <w:tcW w:w="1413" w:type="pct"/>
            <w:tcBorders>
              <w:top w:val="single" w:color="auto" w:sz="4" w:space="0"/>
              <w:left w:val="single" w:color="auto" w:sz="4" w:space="0"/>
              <w:bottom w:val="single" w:color="auto" w:sz="4" w:space="0"/>
              <w:right w:val="single" w:color="auto" w:sz="4" w:space="0"/>
            </w:tcBorders>
          </w:tcPr>
          <w:p w14:paraId="5794A016">
            <w:pPr>
              <w:spacing w:line="320" w:lineRule="exact"/>
              <w:ind w:left="0" w:firstLine="240" w:firstLineChars="100"/>
            </w:pPr>
            <w:r>
              <w:t>1.2</w:t>
            </w:r>
            <w:r>
              <w:rPr>
                <w:rFonts w:hint="eastAsia"/>
              </w:rPr>
              <w:t>卸载</w:t>
            </w:r>
            <w:r>
              <w:rPr>
                <w:i/>
              </w:rPr>
              <w:t>L</w:t>
            </w:r>
          </w:p>
        </w:tc>
        <w:tc>
          <w:tcPr>
            <w:tcW w:w="1311" w:type="pct"/>
            <w:tcBorders>
              <w:top w:val="single" w:color="auto" w:sz="4" w:space="0"/>
              <w:left w:val="single" w:color="auto" w:sz="4" w:space="0"/>
              <w:bottom w:val="single" w:color="auto" w:sz="4" w:space="0"/>
              <w:right w:val="single" w:color="auto" w:sz="4" w:space="0"/>
            </w:tcBorders>
            <w:vAlign w:val="center"/>
          </w:tcPr>
          <w:p w14:paraId="7BCE4D78">
            <w:pPr>
              <w:spacing w:line="320" w:lineRule="exact"/>
              <w:jc w:val="center"/>
            </w:pPr>
          </w:p>
        </w:tc>
        <w:tc>
          <w:tcPr>
            <w:tcW w:w="1137" w:type="pct"/>
            <w:tcBorders>
              <w:top w:val="single" w:color="auto" w:sz="4" w:space="0"/>
              <w:left w:val="single" w:color="auto" w:sz="4" w:space="0"/>
              <w:bottom w:val="single" w:color="auto" w:sz="4" w:space="0"/>
              <w:right w:val="single" w:color="auto" w:sz="4" w:space="0"/>
            </w:tcBorders>
            <w:vAlign w:val="center"/>
          </w:tcPr>
          <w:p w14:paraId="347F00DC">
            <w:pPr>
              <w:spacing w:line="320" w:lineRule="exact"/>
              <w:jc w:val="center"/>
            </w:pPr>
          </w:p>
        </w:tc>
        <w:tc>
          <w:tcPr>
            <w:tcW w:w="1139" w:type="pct"/>
            <w:tcBorders>
              <w:top w:val="single" w:color="auto" w:sz="4" w:space="0"/>
              <w:left w:val="single" w:color="auto" w:sz="4" w:space="0"/>
              <w:bottom w:val="single" w:color="auto" w:sz="4" w:space="0"/>
              <w:right w:val="single" w:color="auto" w:sz="4" w:space="0"/>
            </w:tcBorders>
            <w:vAlign w:val="center"/>
          </w:tcPr>
          <w:p w14:paraId="0750D2F7">
            <w:pPr>
              <w:spacing w:line="320" w:lineRule="exact"/>
              <w:jc w:val="center"/>
            </w:pPr>
          </w:p>
        </w:tc>
      </w:tr>
      <w:tr w14:paraId="1CC0F6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trPr>
        <w:tc>
          <w:tcPr>
            <w:tcW w:w="1413" w:type="pct"/>
            <w:tcBorders>
              <w:top w:val="single" w:color="auto" w:sz="4" w:space="0"/>
              <w:left w:val="single" w:color="auto" w:sz="4" w:space="0"/>
              <w:bottom w:val="single" w:color="auto" w:sz="4" w:space="0"/>
              <w:right w:val="single" w:color="auto" w:sz="4" w:space="0"/>
            </w:tcBorders>
          </w:tcPr>
          <w:p w14:paraId="7309D43A">
            <w:pPr>
              <w:pStyle w:val="61"/>
              <w:numPr>
                <w:ilvl w:val="0"/>
                <w:numId w:val="8"/>
              </w:numPr>
              <w:spacing w:line="320" w:lineRule="exact"/>
              <w:ind w:firstLineChars="0"/>
            </w:pPr>
            <w:r>
              <w:rPr>
                <w:rFonts w:hint="eastAsia"/>
              </w:rPr>
              <w:t>30%</w:t>
            </w:r>
            <w:r>
              <w:rPr>
                <w:rFonts w:hint="eastAsia"/>
                <w:iCs/>
              </w:rPr>
              <w:t>Max</w:t>
            </w:r>
          </w:p>
        </w:tc>
        <w:tc>
          <w:tcPr>
            <w:tcW w:w="1308" w:type="pct"/>
            <w:tcBorders>
              <w:top w:val="single" w:color="auto" w:sz="4" w:space="0"/>
              <w:left w:val="single" w:color="auto" w:sz="4" w:space="0"/>
              <w:bottom w:val="single" w:color="auto" w:sz="4" w:space="0"/>
              <w:right w:val="single" w:color="auto" w:sz="4" w:space="0"/>
            </w:tcBorders>
            <w:vAlign w:val="center"/>
          </w:tcPr>
          <w:p w14:paraId="5B1FAFA7">
            <w:pPr>
              <w:spacing w:line="320" w:lineRule="exact"/>
              <w:jc w:val="center"/>
            </w:pPr>
          </w:p>
        </w:tc>
        <w:tc>
          <w:tcPr>
            <w:tcW w:w="1137" w:type="pct"/>
            <w:tcBorders>
              <w:top w:val="single" w:color="auto" w:sz="4" w:space="0"/>
              <w:left w:val="single" w:color="auto" w:sz="4" w:space="0"/>
              <w:bottom w:val="single" w:color="auto" w:sz="4" w:space="0"/>
              <w:right w:val="single" w:color="auto" w:sz="4" w:space="0"/>
            </w:tcBorders>
            <w:vAlign w:val="center"/>
          </w:tcPr>
          <w:p w14:paraId="69A279CC">
            <w:pPr>
              <w:spacing w:line="320" w:lineRule="exact"/>
              <w:jc w:val="center"/>
            </w:pPr>
          </w:p>
        </w:tc>
        <w:tc>
          <w:tcPr>
            <w:tcW w:w="1141" w:type="pct"/>
            <w:tcBorders>
              <w:top w:val="single" w:color="auto" w:sz="4" w:space="0"/>
              <w:left w:val="single" w:color="auto" w:sz="4" w:space="0"/>
              <w:bottom w:val="single" w:color="auto" w:sz="4" w:space="0"/>
              <w:right w:val="single" w:color="auto" w:sz="4" w:space="0"/>
            </w:tcBorders>
            <w:vAlign w:val="center"/>
          </w:tcPr>
          <w:p w14:paraId="1927890A">
            <w:pPr>
              <w:spacing w:line="320" w:lineRule="exact"/>
              <w:jc w:val="center"/>
            </w:pPr>
          </w:p>
        </w:tc>
      </w:tr>
      <w:tr w14:paraId="5A0D82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trPr>
        <w:tc>
          <w:tcPr>
            <w:tcW w:w="1413" w:type="pct"/>
            <w:tcBorders>
              <w:top w:val="single" w:color="auto" w:sz="4" w:space="0"/>
              <w:left w:val="single" w:color="auto" w:sz="4" w:space="0"/>
              <w:bottom w:val="single" w:color="auto" w:sz="4" w:space="0"/>
              <w:right w:val="single" w:color="auto" w:sz="4" w:space="0"/>
            </w:tcBorders>
          </w:tcPr>
          <w:p w14:paraId="31C75E2C">
            <w:pPr>
              <w:spacing w:line="320" w:lineRule="exact"/>
              <w:ind w:left="0" w:firstLine="240" w:firstLineChars="100"/>
            </w:pPr>
            <w:r>
              <w:rPr>
                <w:rFonts w:hint="eastAsia"/>
              </w:rPr>
              <w:t>2</w:t>
            </w:r>
            <w:r>
              <w:t>.1</w:t>
            </w:r>
            <w:r>
              <w:rPr>
                <w:rFonts w:hint="eastAsia"/>
              </w:rPr>
              <w:t>加载</w:t>
            </w:r>
            <w:r>
              <w:rPr>
                <w:i/>
              </w:rPr>
              <w:t>L</w:t>
            </w:r>
          </w:p>
        </w:tc>
        <w:tc>
          <w:tcPr>
            <w:tcW w:w="1311" w:type="pct"/>
            <w:tcBorders>
              <w:top w:val="single" w:color="auto" w:sz="4" w:space="0"/>
              <w:left w:val="single" w:color="auto" w:sz="4" w:space="0"/>
              <w:bottom w:val="single" w:color="auto" w:sz="4" w:space="0"/>
              <w:right w:val="single" w:color="auto" w:sz="4" w:space="0"/>
            </w:tcBorders>
            <w:vAlign w:val="center"/>
          </w:tcPr>
          <w:p w14:paraId="487494D3">
            <w:pPr>
              <w:spacing w:line="320" w:lineRule="exact"/>
              <w:jc w:val="center"/>
            </w:pPr>
          </w:p>
        </w:tc>
        <w:tc>
          <w:tcPr>
            <w:tcW w:w="1137" w:type="pct"/>
            <w:tcBorders>
              <w:top w:val="single" w:color="auto" w:sz="4" w:space="0"/>
              <w:left w:val="single" w:color="auto" w:sz="4" w:space="0"/>
              <w:bottom w:val="single" w:color="auto" w:sz="4" w:space="0"/>
              <w:right w:val="single" w:color="auto" w:sz="4" w:space="0"/>
            </w:tcBorders>
            <w:vAlign w:val="center"/>
          </w:tcPr>
          <w:p w14:paraId="3B7E507F">
            <w:pPr>
              <w:spacing w:line="320" w:lineRule="exact"/>
              <w:jc w:val="center"/>
            </w:pPr>
          </w:p>
        </w:tc>
        <w:tc>
          <w:tcPr>
            <w:tcW w:w="1139" w:type="pct"/>
            <w:tcBorders>
              <w:top w:val="single" w:color="auto" w:sz="4" w:space="0"/>
              <w:left w:val="single" w:color="auto" w:sz="4" w:space="0"/>
              <w:bottom w:val="single" w:color="auto" w:sz="4" w:space="0"/>
              <w:right w:val="single" w:color="auto" w:sz="4" w:space="0"/>
            </w:tcBorders>
            <w:vAlign w:val="center"/>
          </w:tcPr>
          <w:p w14:paraId="77E2FCEA">
            <w:pPr>
              <w:spacing w:line="320" w:lineRule="exact"/>
              <w:jc w:val="center"/>
            </w:pPr>
          </w:p>
        </w:tc>
      </w:tr>
      <w:tr w14:paraId="664F60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trPr>
        <w:tc>
          <w:tcPr>
            <w:tcW w:w="1413" w:type="pct"/>
            <w:tcBorders>
              <w:top w:val="single" w:color="auto" w:sz="4" w:space="0"/>
              <w:left w:val="single" w:color="auto" w:sz="4" w:space="0"/>
              <w:bottom w:val="single" w:color="auto" w:sz="4" w:space="0"/>
              <w:right w:val="single" w:color="auto" w:sz="4" w:space="0"/>
            </w:tcBorders>
          </w:tcPr>
          <w:p w14:paraId="53588033">
            <w:pPr>
              <w:spacing w:line="320" w:lineRule="exact"/>
              <w:ind w:left="0" w:firstLine="240" w:firstLineChars="100"/>
            </w:pPr>
            <w:r>
              <w:rPr>
                <w:rFonts w:hint="eastAsia"/>
              </w:rPr>
              <w:t>2</w:t>
            </w:r>
            <w:r>
              <w:t>.2</w:t>
            </w:r>
            <w:r>
              <w:rPr>
                <w:rFonts w:hint="eastAsia"/>
              </w:rPr>
              <w:t>卸载</w:t>
            </w:r>
            <w:r>
              <w:rPr>
                <w:i/>
              </w:rPr>
              <w:t>L</w:t>
            </w:r>
          </w:p>
        </w:tc>
        <w:tc>
          <w:tcPr>
            <w:tcW w:w="1311" w:type="pct"/>
            <w:tcBorders>
              <w:top w:val="single" w:color="auto" w:sz="4" w:space="0"/>
              <w:left w:val="single" w:color="auto" w:sz="4" w:space="0"/>
              <w:bottom w:val="single" w:color="auto" w:sz="4" w:space="0"/>
              <w:right w:val="single" w:color="auto" w:sz="4" w:space="0"/>
            </w:tcBorders>
            <w:vAlign w:val="center"/>
          </w:tcPr>
          <w:p w14:paraId="053B0317">
            <w:pPr>
              <w:spacing w:line="320" w:lineRule="exact"/>
              <w:jc w:val="center"/>
            </w:pPr>
          </w:p>
        </w:tc>
        <w:tc>
          <w:tcPr>
            <w:tcW w:w="1137" w:type="pct"/>
            <w:tcBorders>
              <w:top w:val="single" w:color="auto" w:sz="4" w:space="0"/>
              <w:left w:val="single" w:color="auto" w:sz="4" w:space="0"/>
              <w:bottom w:val="single" w:color="auto" w:sz="4" w:space="0"/>
              <w:right w:val="single" w:color="auto" w:sz="4" w:space="0"/>
            </w:tcBorders>
            <w:vAlign w:val="center"/>
          </w:tcPr>
          <w:p w14:paraId="43F245AC">
            <w:pPr>
              <w:spacing w:line="320" w:lineRule="exact"/>
              <w:jc w:val="center"/>
            </w:pPr>
          </w:p>
        </w:tc>
        <w:tc>
          <w:tcPr>
            <w:tcW w:w="1139" w:type="pct"/>
            <w:tcBorders>
              <w:top w:val="single" w:color="auto" w:sz="4" w:space="0"/>
              <w:left w:val="single" w:color="auto" w:sz="4" w:space="0"/>
              <w:bottom w:val="single" w:color="auto" w:sz="4" w:space="0"/>
              <w:right w:val="single" w:color="auto" w:sz="4" w:space="0"/>
            </w:tcBorders>
            <w:vAlign w:val="center"/>
          </w:tcPr>
          <w:p w14:paraId="4067B9CA">
            <w:pPr>
              <w:spacing w:line="320" w:lineRule="exact"/>
              <w:jc w:val="center"/>
            </w:pPr>
          </w:p>
        </w:tc>
      </w:tr>
      <w:tr w14:paraId="4E4E9A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trPr>
        <w:tc>
          <w:tcPr>
            <w:tcW w:w="1413" w:type="pct"/>
            <w:tcBorders>
              <w:top w:val="single" w:color="auto" w:sz="4" w:space="0"/>
              <w:left w:val="single" w:color="auto" w:sz="4" w:space="0"/>
              <w:bottom w:val="single" w:color="auto" w:sz="4" w:space="0"/>
              <w:right w:val="single" w:color="auto" w:sz="4" w:space="0"/>
            </w:tcBorders>
          </w:tcPr>
          <w:p w14:paraId="0E2ACBB1">
            <w:pPr>
              <w:pStyle w:val="61"/>
              <w:numPr>
                <w:ilvl w:val="0"/>
                <w:numId w:val="8"/>
              </w:numPr>
              <w:spacing w:line="320" w:lineRule="exact"/>
              <w:ind w:firstLineChars="0"/>
            </w:pPr>
            <w:r>
              <w:rPr>
                <w:rFonts w:hint="eastAsia"/>
              </w:rPr>
              <w:t>30%</w:t>
            </w:r>
            <w:r>
              <w:rPr>
                <w:rFonts w:hint="eastAsia"/>
                <w:iCs/>
              </w:rPr>
              <w:t>Max</w:t>
            </w:r>
          </w:p>
        </w:tc>
        <w:tc>
          <w:tcPr>
            <w:tcW w:w="1308" w:type="pct"/>
            <w:tcBorders>
              <w:top w:val="single" w:color="auto" w:sz="4" w:space="0"/>
              <w:left w:val="single" w:color="auto" w:sz="4" w:space="0"/>
              <w:bottom w:val="single" w:color="auto" w:sz="4" w:space="0"/>
              <w:right w:val="single" w:color="auto" w:sz="4" w:space="0"/>
            </w:tcBorders>
            <w:vAlign w:val="center"/>
          </w:tcPr>
          <w:p w14:paraId="1AD4F123">
            <w:pPr>
              <w:spacing w:line="320" w:lineRule="exact"/>
              <w:jc w:val="center"/>
            </w:pPr>
          </w:p>
        </w:tc>
        <w:tc>
          <w:tcPr>
            <w:tcW w:w="1137" w:type="pct"/>
            <w:tcBorders>
              <w:top w:val="single" w:color="auto" w:sz="4" w:space="0"/>
              <w:left w:val="single" w:color="auto" w:sz="4" w:space="0"/>
              <w:bottom w:val="single" w:color="auto" w:sz="4" w:space="0"/>
              <w:right w:val="single" w:color="auto" w:sz="4" w:space="0"/>
            </w:tcBorders>
            <w:vAlign w:val="center"/>
          </w:tcPr>
          <w:p w14:paraId="76338927">
            <w:pPr>
              <w:spacing w:line="320" w:lineRule="exact"/>
              <w:jc w:val="center"/>
            </w:pPr>
          </w:p>
        </w:tc>
        <w:tc>
          <w:tcPr>
            <w:tcW w:w="1141" w:type="pct"/>
            <w:tcBorders>
              <w:top w:val="single" w:color="auto" w:sz="4" w:space="0"/>
              <w:left w:val="single" w:color="auto" w:sz="4" w:space="0"/>
              <w:bottom w:val="single" w:color="auto" w:sz="4" w:space="0"/>
              <w:right w:val="single" w:color="auto" w:sz="4" w:space="0"/>
            </w:tcBorders>
            <w:vAlign w:val="center"/>
          </w:tcPr>
          <w:p w14:paraId="32219B46">
            <w:pPr>
              <w:spacing w:line="320" w:lineRule="exact"/>
              <w:jc w:val="center"/>
            </w:pPr>
          </w:p>
        </w:tc>
      </w:tr>
      <w:tr w14:paraId="2974D5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trPr>
        <w:tc>
          <w:tcPr>
            <w:tcW w:w="1413" w:type="pct"/>
            <w:tcBorders>
              <w:top w:val="single" w:color="auto" w:sz="4" w:space="0"/>
              <w:left w:val="single" w:color="auto" w:sz="4" w:space="0"/>
              <w:bottom w:val="single" w:color="auto" w:sz="4" w:space="0"/>
              <w:right w:val="single" w:color="auto" w:sz="4" w:space="0"/>
            </w:tcBorders>
          </w:tcPr>
          <w:p w14:paraId="38988A66">
            <w:pPr>
              <w:spacing w:line="320" w:lineRule="exact"/>
              <w:ind w:left="0" w:firstLine="240" w:firstLineChars="100"/>
            </w:pPr>
            <w:r>
              <w:rPr>
                <w:rFonts w:hint="eastAsia"/>
              </w:rPr>
              <w:t>3</w:t>
            </w:r>
            <w:r>
              <w:t>.1</w:t>
            </w:r>
            <w:r>
              <w:rPr>
                <w:rFonts w:hint="eastAsia"/>
              </w:rPr>
              <w:t>加载</w:t>
            </w:r>
            <w:r>
              <w:rPr>
                <w:i/>
              </w:rPr>
              <w:t>L</w:t>
            </w:r>
          </w:p>
        </w:tc>
        <w:tc>
          <w:tcPr>
            <w:tcW w:w="1311" w:type="pct"/>
            <w:tcBorders>
              <w:top w:val="single" w:color="auto" w:sz="4" w:space="0"/>
              <w:left w:val="single" w:color="auto" w:sz="4" w:space="0"/>
              <w:bottom w:val="single" w:color="auto" w:sz="4" w:space="0"/>
              <w:right w:val="single" w:color="auto" w:sz="4" w:space="0"/>
            </w:tcBorders>
            <w:vAlign w:val="center"/>
          </w:tcPr>
          <w:p w14:paraId="4F022AAB">
            <w:pPr>
              <w:spacing w:line="320" w:lineRule="exact"/>
              <w:jc w:val="center"/>
            </w:pPr>
          </w:p>
        </w:tc>
        <w:tc>
          <w:tcPr>
            <w:tcW w:w="1137" w:type="pct"/>
            <w:tcBorders>
              <w:top w:val="single" w:color="auto" w:sz="4" w:space="0"/>
              <w:left w:val="single" w:color="auto" w:sz="4" w:space="0"/>
              <w:bottom w:val="single" w:color="auto" w:sz="4" w:space="0"/>
              <w:right w:val="single" w:color="auto" w:sz="4" w:space="0"/>
            </w:tcBorders>
            <w:vAlign w:val="center"/>
          </w:tcPr>
          <w:p w14:paraId="212BC421">
            <w:pPr>
              <w:spacing w:line="320" w:lineRule="exact"/>
              <w:jc w:val="center"/>
            </w:pPr>
          </w:p>
        </w:tc>
        <w:tc>
          <w:tcPr>
            <w:tcW w:w="1139" w:type="pct"/>
            <w:tcBorders>
              <w:top w:val="single" w:color="auto" w:sz="4" w:space="0"/>
              <w:left w:val="single" w:color="auto" w:sz="4" w:space="0"/>
              <w:bottom w:val="single" w:color="auto" w:sz="4" w:space="0"/>
              <w:right w:val="single" w:color="auto" w:sz="4" w:space="0"/>
            </w:tcBorders>
            <w:vAlign w:val="center"/>
          </w:tcPr>
          <w:p w14:paraId="270FEFF2">
            <w:pPr>
              <w:spacing w:line="320" w:lineRule="exact"/>
              <w:jc w:val="center"/>
            </w:pPr>
          </w:p>
        </w:tc>
      </w:tr>
      <w:tr w14:paraId="6BA69B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trPr>
        <w:tc>
          <w:tcPr>
            <w:tcW w:w="1413" w:type="pct"/>
            <w:tcBorders>
              <w:top w:val="single" w:color="auto" w:sz="4" w:space="0"/>
              <w:left w:val="single" w:color="auto" w:sz="4" w:space="0"/>
              <w:bottom w:val="single" w:color="auto" w:sz="4" w:space="0"/>
              <w:right w:val="single" w:color="auto" w:sz="4" w:space="0"/>
            </w:tcBorders>
          </w:tcPr>
          <w:p w14:paraId="02203D83">
            <w:pPr>
              <w:spacing w:line="320" w:lineRule="exact"/>
              <w:ind w:left="0" w:firstLine="240" w:firstLineChars="100"/>
            </w:pPr>
            <w:r>
              <w:rPr>
                <w:rFonts w:hint="eastAsia"/>
              </w:rPr>
              <w:t>3</w:t>
            </w:r>
            <w:r>
              <w:t>.2</w:t>
            </w:r>
            <w:r>
              <w:rPr>
                <w:rFonts w:hint="eastAsia"/>
              </w:rPr>
              <w:t>卸载</w:t>
            </w:r>
            <w:r>
              <w:rPr>
                <w:i/>
              </w:rPr>
              <w:t>L</w:t>
            </w:r>
          </w:p>
        </w:tc>
        <w:tc>
          <w:tcPr>
            <w:tcW w:w="1311" w:type="pct"/>
            <w:tcBorders>
              <w:top w:val="single" w:color="auto" w:sz="4" w:space="0"/>
              <w:left w:val="single" w:color="auto" w:sz="4" w:space="0"/>
              <w:bottom w:val="single" w:color="auto" w:sz="4" w:space="0"/>
              <w:right w:val="single" w:color="auto" w:sz="4" w:space="0"/>
            </w:tcBorders>
            <w:vAlign w:val="center"/>
          </w:tcPr>
          <w:p w14:paraId="29E46FC2">
            <w:pPr>
              <w:spacing w:line="320" w:lineRule="exact"/>
              <w:jc w:val="center"/>
            </w:pPr>
          </w:p>
        </w:tc>
        <w:tc>
          <w:tcPr>
            <w:tcW w:w="1137" w:type="pct"/>
            <w:tcBorders>
              <w:top w:val="single" w:color="auto" w:sz="4" w:space="0"/>
              <w:left w:val="single" w:color="auto" w:sz="4" w:space="0"/>
              <w:bottom w:val="single" w:color="auto" w:sz="4" w:space="0"/>
              <w:right w:val="single" w:color="auto" w:sz="4" w:space="0"/>
            </w:tcBorders>
            <w:vAlign w:val="center"/>
          </w:tcPr>
          <w:p w14:paraId="3BA01C8D">
            <w:pPr>
              <w:spacing w:line="320" w:lineRule="exact"/>
              <w:jc w:val="center"/>
            </w:pPr>
          </w:p>
        </w:tc>
        <w:tc>
          <w:tcPr>
            <w:tcW w:w="1139" w:type="pct"/>
            <w:tcBorders>
              <w:top w:val="single" w:color="auto" w:sz="4" w:space="0"/>
              <w:left w:val="single" w:color="auto" w:sz="4" w:space="0"/>
              <w:bottom w:val="single" w:color="auto" w:sz="4" w:space="0"/>
              <w:right w:val="single" w:color="auto" w:sz="4" w:space="0"/>
            </w:tcBorders>
            <w:vAlign w:val="center"/>
          </w:tcPr>
          <w:p w14:paraId="08742B1D">
            <w:pPr>
              <w:spacing w:line="320" w:lineRule="exact"/>
              <w:jc w:val="center"/>
            </w:pPr>
          </w:p>
        </w:tc>
      </w:tr>
      <w:tr w14:paraId="522B1B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trPr>
        <w:tc>
          <w:tcPr>
            <w:tcW w:w="1413" w:type="pct"/>
            <w:tcBorders>
              <w:top w:val="single" w:color="auto" w:sz="4" w:space="0"/>
              <w:left w:val="single" w:color="auto" w:sz="4" w:space="0"/>
              <w:bottom w:val="single" w:color="auto" w:sz="4" w:space="0"/>
              <w:right w:val="single" w:color="auto" w:sz="4" w:space="0"/>
            </w:tcBorders>
          </w:tcPr>
          <w:p w14:paraId="71A85E88">
            <w:pPr>
              <w:pStyle w:val="61"/>
              <w:numPr>
                <w:ilvl w:val="0"/>
                <w:numId w:val="8"/>
              </w:numPr>
              <w:spacing w:line="320" w:lineRule="exact"/>
              <w:ind w:firstLineChars="0"/>
            </w:pPr>
            <w:r>
              <w:rPr>
                <w:rFonts w:hint="eastAsia"/>
              </w:rPr>
              <w:t>30%</w:t>
            </w:r>
            <w:r>
              <w:rPr>
                <w:rFonts w:hint="eastAsia"/>
                <w:iCs/>
              </w:rPr>
              <w:t>Max</w:t>
            </w:r>
          </w:p>
        </w:tc>
        <w:tc>
          <w:tcPr>
            <w:tcW w:w="1308" w:type="pct"/>
            <w:tcBorders>
              <w:top w:val="single" w:color="auto" w:sz="4" w:space="0"/>
              <w:left w:val="single" w:color="auto" w:sz="4" w:space="0"/>
              <w:bottom w:val="single" w:color="auto" w:sz="4" w:space="0"/>
              <w:right w:val="single" w:color="auto" w:sz="4" w:space="0"/>
            </w:tcBorders>
            <w:vAlign w:val="center"/>
          </w:tcPr>
          <w:p w14:paraId="633F69EF">
            <w:pPr>
              <w:spacing w:line="320" w:lineRule="exact"/>
              <w:jc w:val="center"/>
            </w:pPr>
          </w:p>
        </w:tc>
        <w:tc>
          <w:tcPr>
            <w:tcW w:w="1137" w:type="pct"/>
            <w:tcBorders>
              <w:top w:val="single" w:color="auto" w:sz="4" w:space="0"/>
              <w:left w:val="single" w:color="auto" w:sz="4" w:space="0"/>
              <w:bottom w:val="single" w:color="auto" w:sz="4" w:space="0"/>
              <w:right w:val="single" w:color="auto" w:sz="4" w:space="0"/>
            </w:tcBorders>
            <w:vAlign w:val="center"/>
          </w:tcPr>
          <w:p w14:paraId="12CFF0A3">
            <w:pPr>
              <w:spacing w:line="320" w:lineRule="exact"/>
              <w:jc w:val="center"/>
            </w:pPr>
          </w:p>
        </w:tc>
        <w:tc>
          <w:tcPr>
            <w:tcW w:w="1141" w:type="pct"/>
            <w:tcBorders>
              <w:top w:val="single" w:color="auto" w:sz="4" w:space="0"/>
              <w:left w:val="single" w:color="auto" w:sz="4" w:space="0"/>
              <w:bottom w:val="single" w:color="auto" w:sz="4" w:space="0"/>
              <w:right w:val="single" w:color="auto" w:sz="4" w:space="0"/>
            </w:tcBorders>
            <w:vAlign w:val="center"/>
          </w:tcPr>
          <w:p w14:paraId="4E4F4587">
            <w:pPr>
              <w:spacing w:line="320" w:lineRule="exact"/>
              <w:jc w:val="center"/>
            </w:pPr>
          </w:p>
        </w:tc>
      </w:tr>
      <w:tr w14:paraId="1802E2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trPr>
        <w:tc>
          <w:tcPr>
            <w:tcW w:w="1413" w:type="pct"/>
            <w:tcBorders>
              <w:top w:val="single" w:color="auto" w:sz="4" w:space="0"/>
              <w:left w:val="single" w:color="auto" w:sz="4" w:space="0"/>
              <w:bottom w:val="single" w:color="auto" w:sz="4" w:space="0"/>
              <w:right w:val="single" w:color="auto" w:sz="4" w:space="0"/>
            </w:tcBorders>
          </w:tcPr>
          <w:p w14:paraId="5AC0F323">
            <w:pPr>
              <w:spacing w:line="320" w:lineRule="exact"/>
              <w:ind w:left="0" w:firstLine="240" w:firstLineChars="100"/>
            </w:pPr>
            <w:r>
              <w:rPr>
                <w:rFonts w:hint="eastAsia"/>
              </w:rPr>
              <w:t>4</w:t>
            </w:r>
            <w:r>
              <w:t>.1</w:t>
            </w:r>
            <w:r>
              <w:rPr>
                <w:rFonts w:hint="eastAsia"/>
              </w:rPr>
              <w:t>加载</w:t>
            </w:r>
            <w:r>
              <w:rPr>
                <w:i/>
              </w:rPr>
              <w:t>L</w:t>
            </w:r>
          </w:p>
        </w:tc>
        <w:tc>
          <w:tcPr>
            <w:tcW w:w="1311" w:type="pct"/>
            <w:tcBorders>
              <w:top w:val="single" w:color="auto" w:sz="4" w:space="0"/>
              <w:left w:val="single" w:color="auto" w:sz="4" w:space="0"/>
              <w:bottom w:val="single" w:color="auto" w:sz="4" w:space="0"/>
              <w:right w:val="single" w:color="auto" w:sz="4" w:space="0"/>
            </w:tcBorders>
            <w:vAlign w:val="center"/>
          </w:tcPr>
          <w:p w14:paraId="373C68D9">
            <w:pPr>
              <w:spacing w:line="320" w:lineRule="exact"/>
              <w:jc w:val="center"/>
            </w:pPr>
          </w:p>
        </w:tc>
        <w:tc>
          <w:tcPr>
            <w:tcW w:w="1137" w:type="pct"/>
            <w:tcBorders>
              <w:top w:val="single" w:color="auto" w:sz="4" w:space="0"/>
              <w:left w:val="single" w:color="auto" w:sz="4" w:space="0"/>
              <w:bottom w:val="single" w:color="auto" w:sz="4" w:space="0"/>
              <w:right w:val="single" w:color="auto" w:sz="4" w:space="0"/>
            </w:tcBorders>
            <w:vAlign w:val="center"/>
          </w:tcPr>
          <w:p w14:paraId="238F0C39">
            <w:pPr>
              <w:spacing w:line="320" w:lineRule="exact"/>
              <w:jc w:val="center"/>
            </w:pPr>
          </w:p>
        </w:tc>
        <w:tc>
          <w:tcPr>
            <w:tcW w:w="1139" w:type="pct"/>
            <w:tcBorders>
              <w:top w:val="single" w:color="auto" w:sz="4" w:space="0"/>
              <w:left w:val="single" w:color="auto" w:sz="4" w:space="0"/>
              <w:bottom w:val="single" w:color="auto" w:sz="4" w:space="0"/>
              <w:right w:val="single" w:color="auto" w:sz="4" w:space="0"/>
            </w:tcBorders>
            <w:vAlign w:val="center"/>
          </w:tcPr>
          <w:p w14:paraId="41D4B3CF">
            <w:pPr>
              <w:spacing w:line="320" w:lineRule="exact"/>
              <w:jc w:val="center"/>
            </w:pPr>
          </w:p>
        </w:tc>
      </w:tr>
      <w:tr w14:paraId="52FFFB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trPr>
        <w:tc>
          <w:tcPr>
            <w:tcW w:w="1413" w:type="pct"/>
            <w:tcBorders>
              <w:top w:val="single" w:color="auto" w:sz="4" w:space="0"/>
              <w:left w:val="single" w:color="auto" w:sz="4" w:space="0"/>
              <w:bottom w:val="single" w:color="auto" w:sz="4" w:space="0"/>
              <w:right w:val="single" w:color="auto" w:sz="4" w:space="0"/>
            </w:tcBorders>
          </w:tcPr>
          <w:p w14:paraId="41B8C562">
            <w:pPr>
              <w:spacing w:line="320" w:lineRule="exact"/>
              <w:ind w:left="0" w:firstLine="240" w:firstLineChars="100"/>
            </w:pPr>
            <w:r>
              <w:rPr>
                <w:rFonts w:hint="eastAsia"/>
              </w:rPr>
              <w:t>4</w:t>
            </w:r>
            <w:r>
              <w:t>.2</w:t>
            </w:r>
            <w:r>
              <w:rPr>
                <w:rFonts w:hint="eastAsia"/>
              </w:rPr>
              <w:t>卸载</w:t>
            </w:r>
            <w:r>
              <w:rPr>
                <w:i/>
              </w:rPr>
              <w:t>L</w:t>
            </w:r>
          </w:p>
        </w:tc>
        <w:tc>
          <w:tcPr>
            <w:tcW w:w="1311" w:type="pct"/>
            <w:tcBorders>
              <w:top w:val="single" w:color="auto" w:sz="4" w:space="0"/>
              <w:left w:val="single" w:color="auto" w:sz="4" w:space="0"/>
              <w:bottom w:val="single" w:color="auto" w:sz="4" w:space="0"/>
              <w:right w:val="single" w:color="auto" w:sz="4" w:space="0"/>
            </w:tcBorders>
            <w:vAlign w:val="center"/>
          </w:tcPr>
          <w:p w14:paraId="68791BDD">
            <w:pPr>
              <w:spacing w:line="320" w:lineRule="exact"/>
              <w:jc w:val="center"/>
            </w:pPr>
          </w:p>
        </w:tc>
        <w:tc>
          <w:tcPr>
            <w:tcW w:w="1137" w:type="pct"/>
            <w:tcBorders>
              <w:top w:val="single" w:color="auto" w:sz="4" w:space="0"/>
              <w:left w:val="single" w:color="auto" w:sz="4" w:space="0"/>
              <w:bottom w:val="single" w:color="auto" w:sz="4" w:space="0"/>
              <w:right w:val="single" w:color="auto" w:sz="4" w:space="0"/>
            </w:tcBorders>
            <w:vAlign w:val="center"/>
          </w:tcPr>
          <w:p w14:paraId="092ED045">
            <w:pPr>
              <w:spacing w:line="320" w:lineRule="exact"/>
              <w:jc w:val="center"/>
            </w:pPr>
          </w:p>
        </w:tc>
        <w:tc>
          <w:tcPr>
            <w:tcW w:w="1139" w:type="pct"/>
            <w:tcBorders>
              <w:top w:val="single" w:color="auto" w:sz="4" w:space="0"/>
              <w:left w:val="single" w:color="auto" w:sz="4" w:space="0"/>
              <w:bottom w:val="single" w:color="auto" w:sz="4" w:space="0"/>
              <w:right w:val="single" w:color="auto" w:sz="4" w:space="0"/>
            </w:tcBorders>
            <w:vAlign w:val="center"/>
          </w:tcPr>
          <w:p w14:paraId="63F89884">
            <w:pPr>
              <w:spacing w:line="320" w:lineRule="exact"/>
              <w:jc w:val="center"/>
            </w:pPr>
          </w:p>
        </w:tc>
      </w:tr>
      <w:tr w14:paraId="7FB1CB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trPr>
        <w:tc>
          <w:tcPr>
            <w:tcW w:w="1413" w:type="pct"/>
            <w:tcBorders>
              <w:top w:val="single" w:color="auto" w:sz="4" w:space="0"/>
              <w:left w:val="single" w:color="auto" w:sz="4" w:space="0"/>
              <w:bottom w:val="single" w:color="auto" w:sz="4" w:space="0"/>
              <w:right w:val="single" w:color="auto" w:sz="4" w:space="0"/>
            </w:tcBorders>
          </w:tcPr>
          <w:p w14:paraId="416657F6">
            <w:pPr>
              <w:pStyle w:val="61"/>
              <w:numPr>
                <w:ilvl w:val="0"/>
                <w:numId w:val="8"/>
              </w:numPr>
              <w:spacing w:line="320" w:lineRule="exact"/>
              <w:ind w:firstLineChars="0"/>
            </w:pPr>
            <w:r>
              <w:rPr>
                <w:rFonts w:hint="eastAsia"/>
              </w:rPr>
              <w:t>30%</w:t>
            </w:r>
            <w:r>
              <w:rPr>
                <w:rFonts w:hint="eastAsia"/>
                <w:iCs/>
              </w:rPr>
              <w:t>Max</w:t>
            </w:r>
          </w:p>
        </w:tc>
        <w:tc>
          <w:tcPr>
            <w:tcW w:w="1308" w:type="pct"/>
            <w:tcBorders>
              <w:top w:val="single" w:color="auto" w:sz="4" w:space="0"/>
              <w:left w:val="single" w:color="auto" w:sz="4" w:space="0"/>
              <w:bottom w:val="single" w:color="auto" w:sz="4" w:space="0"/>
              <w:right w:val="single" w:color="auto" w:sz="4" w:space="0"/>
            </w:tcBorders>
            <w:vAlign w:val="center"/>
          </w:tcPr>
          <w:p w14:paraId="0E4962D8">
            <w:pPr>
              <w:spacing w:line="320" w:lineRule="exact"/>
              <w:jc w:val="center"/>
            </w:pPr>
          </w:p>
        </w:tc>
        <w:tc>
          <w:tcPr>
            <w:tcW w:w="1137" w:type="pct"/>
            <w:tcBorders>
              <w:top w:val="single" w:color="auto" w:sz="4" w:space="0"/>
              <w:left w:val="single" w:color="auto" w:sz="4" w:space="0"/>
              <w:bottom w:val="single" w:color="auto" w:sz="4" w:space="0"/>
              <w:right w:val="single" w:color="auto" w:sz="4" w:space="0"/>
            </w:tcBorders>
            <w:vAlign w:val="center"/>
          </w:tcPr>
          <w:p w14:paraId="3061B037">
            <w:pPr>
              <w:spacing w:line="320" w:lineRule="exact"/>
              <w:jc w:val="center"/>
            </w:pPr>
          </w:p>
        </w:tc>
        <w:tc>
          <w:tcPr>
            <w:tcW w:w="1141" w:type="pct"/>
            <w:tcBorders>
              <w:top w:val="single" w:color="auto" w:sz="4" w:space="0"/>
              <w:left w:val="single" w:color="auto" w:sz="4" w:space="0"/>
              <w:bottom w:val="single" w:color="auto" w:sz="4" w:space="0"/>
              <w:right w:val="single" w:color="auto" w:sz="4" w:space="0"/>
            </w:tcBorders>
            <w:vAlign w:val="center"/>
          </w:tcPr>
          <w:p w14:paraId="2EB20D37">
            <w:pPr>
              <w:spacing w:line="320" w:lineRule="exact"/>
              <w:jc w:val="center"/>
            </w:pPr>
          </w:p>
        </w:tc>
      </w:tr>
      <w:tr w14:paraId="6ACCC7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trPr>
        <w:tc>
          <w:tcPr>
            <w:tcW w:w="1413" w:type="pct"/>
            <w:tcBorders>
              <w:top w:val="single" w:color="auto" w:sz="4" w:space="0"/>
              <w:left w:val="single" w:color="auto" w:sz="4" w:space="0"/>
              <w:bottom w:val="single" w:color="auto" w:sz="4" w:space="0"/>
              <w:right w:val="single" w:color="auto" w:sz="4" w:space="0"/>
            </w:tcBorders>
          </w:tcPr>
          <w:p w14:paraId="62DE82E2">
            <w:pPr>
              <w:spacing w:line="320" w:lineRule="exact"/>
              <w:ind w:left="0" w:firstLine="240" w:firstLineChars="100"/>
            </w:pPr>
            <w:r>
              <w:rPr>
                <w:rFonts w:hint="eastAsia"/>
              </w:rPr>
              <w:t>5</w:t>
            </w:r>
            <w:r>
              <w:t>.1</w:t>
            </w:r>
            <w:r>
              <w:rPr>
                <w:rFonts w:hint="eastAsia"/>
              </w:rPr>
              <w:t>加载</w:t>
            </w:r>
            <w:r>
              <w:t>L</w:t>
            </w:r>
          </w:p>
        </w:tc>
        <w:tc>
          <w:tcPr>
            <w:tcW w:w="1311" w:type="pct"/>
            <w:tcBorders>
              <w:top w:val="single" w:color="auto" w:sz="4" w:space="0"/>
              <w:left w:val="single" w:color="auto" w:sz="4" w:space="0"/>
              <w:bottom w:val="single" w:color="auto" w:sz="4" w:space="0"/>
              <w:right w:val="single" w:color="auto" w:sz="4" w:space="0"/>
            </w:tcBorders>
            <w:vAlign w:val="center"/>
          </w:tcPr>
          <w:p w14:paraId="0D500161">
            <w:pPr>
              <w:spacing w:line="320" w:lineRule="exact"/>
              <w:jc w:val="center"/>
            </w:pPr>
          </w:p>
        </w:tc>
        <w:tc>
          <w:tcPr>
            <w:tcW w:w="1137" w:type="pct"/>
            <w:tcBorders>
              <w:top w:val="single" w:color="auto" w:sz="4" w:space="0"/>
              <w:left w:val="single" w:color="auto" w:sz="4" w:space="0"/>
              <w:bottom w:val="single" w:color="auto" w:sz="4" w:space="0"/>
              <w:right w:val="single" w:color="auto" w:sz="4" w:space="0"/>
            </w:tcBorders>
            <w:vAlign w:val="center"/>
          </w:tcPr>
          <w:p w14:paraId="5151A195">
            <w:pPr>
              <w:spacing w:line="320" w:lineRule="exact"/>
              <w:jc w:val="center"/>
            </w:pPr>
          </w:p>
        </w:tc>
        <w:tc>
          <w:tcPr>
            <w:tcW w:w="1139" w:type="pct"/>
            <w:tcBorders>
              <w:top w:val="single" w:color="auto" w:sz="4" w:space="0"/>
              <w:left w:val="single" w:color="auto" w:sz="4" w:space="0"/>
              <w:bottom w:val="single" w:color="auto" w:sz="4" w:space="0"/>
              <w:right w:val="single" w:color="auto" w:sz="4" w:space="0"/>
            </w:tcBorders>
            <w:vAlign w:val="center"/>
          </w:tcPr>
          <w:p w14:paraId="43B0A593">
            <w:pPr>
              <w:spacing w:line="320" w:lineRule="exact"/>
              <w:jc w:val="center"/>
            </w:pPr>
          </w:p>
        </w:tc>
      </w:tr>
      <w:tr w14:paraId="2B4B7F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trPr>
        <w:tc>
          <w:tcPr>
            <w:tcW w:w="1413" w:type="pct"/>
            <w:tcBorders>
              <w:top w:val="single" w:color="auto" w:sz="4" w:space="0"/>
              <w:left w:val="single" w:color="auto" w:sz="4" w:space="0"/>
              <w:bottom w:val="single" w:color="auto" w:sz="4" w:space="0"/>
              <w:right w:val="single" w:color="auto" w:sz="4" w:space="0"/>
            </w:tcBorders>
          </w:tcPr>
          <w:p w14:paraId="4CFE1977">
            <w:pPr>
              <w:spacing w:line="320" w:lineRule="exact"/>
              <w:ind w:left="0" w:firstLine="240" w:firstLineChars="100"/>
            </w:pPr>
            <w:r>
              <w:rPr>
                <w:rFonts w:hint="eastAsia"/>
              </w:rPr>
              <w:t>5</w:t>
            </w:r>
            <w:r>
              <w:t>.2</w:t>
            </w:r>
            <w:r>
              <w:rPr>
                <w:rFonts w:hint="eastAsia"/>
              </w:rPr>
              <w:t>卸载</w:t>
            </w:r>
            <w:r>
              <w:t>L</w:t>
            </w:r>
          </w:p>
        </w:tc>
        <w:tc>
          <w:tcPr>
            <w:tcW w:w="1311" w:type="pct"/>
            <w:tcBorders>
              <w:top w:val="single" w:color="auto" w:sz="4" w:space="0"/>
              <w:left w:val="single" w:color="auto" w:sz="4" w:space="0"/>
              <w:bottom w:val="single" w:color="auto" w:sz="4" w:space="0"/>
              <w:right w:val="single" w:color="auto" w:sz="4" w:space="0"/>
            </w:tcBorders>
            <w:vAlign w:val="center"/>
          </w:tcPr>
          <w:p w14:paraId="4B23C3EB">
            <w:pPr>
              <w:spacing w:line="320" w:lineRule="exact"/>
              <w:jc w:val="center"/>
            </w:pPr>
          </w:p>
        </w:tc>
        <w:tc>
          <w:tcPr>
            <w:tcW w:w="1137" w:type="pct"/>
            <w:tcBorders>
              <w:top w:val="single" w:color="auto" w:sz="4" w:space="0"/>
              <w:left w:val="single" w:color="auto" w:sz="4" w:space="0"/>
              <w:bottom w:val="single" w:color="auto" w:sz="4" w:space="0"/>
              <w:right w:val="single" w:color="auto" w:sz="4" w:space="0"/>
            </w:tcBorders>
            <w:vAlign w:val="center"/>
          </w:tcPr>
          <w:p w14:paraId="361FF878">
            <w:pPr>
              <w:spacing w:line="320" w:lineRule="exact"/>
              <w:jc w:val="center"/>
            </w:pPr>
          </w:p>
        </w:tc>
        <w:tc>
          <w:tcPr>
            <w:tcW w:w="1139" w:type="pct"/>
            <w:tcBorders>
              <w:top w:val="single" w:color="auto" w:sz="4" w:space="0"/>
              <w:left w:val="single" w:color="auto" w:sz="4" w:space="0"/>
              <w:bottom w:val="single" w:color="auto" w:sz="4" w:space="0"/>
              <w:right w:val="single" w:color="auto" w:sz="4" w:space="0"/>
            </w:tcBorders>
            <w:vAlign w:val="center"/>
          </w:tcPr>
          <w:p w14:paraId="038BF53B">
            <w:pPr>
              <w:spacing w:line="320" w:lineRule="exact"/>
              <w:jc w:val="center"/>
            </w:pPr>
          </w:p>
        </w:tc>
      </w:tr>
    </w:tbl>
    <w:p w14:paraId="0A68F0A9">
      <w:pPr>
        <w:rPr>
          <w:szCs w:val="21"/>
        </w:rPr>
      </w:pPr>
    </w:p>
    <w:p w14:paraId="76E52BDA">
      <w:pPr>
        <w:rPr>
          <w:szCs w:val="21"/>
        </w:rPr>
      </w:pPr>
    </w:p>
    <w:p w14:paraId="50D04DB2">
      <w:pPr>
        <w:rPr>
          <w:szCs w:val="21"/>
        </w:rPr>
      </w:pPr>
    </w:p>
    <w:p w14:paraId="6241771C">
      <w:pPr>
        <w:rPr>
          <w:szCs w:val="21"/>
        </w:rPr>
      </w:pPr>
    </w:p>
    <w:p w14:paraId="04835806">
      <w:pPr>
        <w:ind w:left="0"/>
        <w:rPr>
          <w:szCs w:val="21"/>
        </w:rPr>
      </w:pPr>
    </w:p>
    <w:p w14:paraId="3DD49268">
      <w:pPr>
        <w:ind w:left="0"/>
        <w:rPr>
          <w:rFonts w:cs="宋体"/>
          <w:szCs w:val="21"/>
        </w:rPr>
      </w:pPr>
      <w:r>
        <w:rPr>
          <w:rFonts w:hint="eastAsia"/>
          <w:szCs w:val="21"/>
        </w:rPr>
        <w:t>校准员：</w:t>
      </w:r>
      <w:r>
        <w:rPr>
          <w:rFonts w:hint="eastAsia" w:cs="宋体"/>
          <w:szCs w:val="21"/>
          <w:u w:val="single"/>
        </w:rPr>
        <w:t xml:space="preserve">               </w:t>
      </w:r>
      <w:r>
        <w:rPr>
          <w:rFonts w:hint="eastAsia" w:cs="宋体"/>
          <w:szCs w:val="21"/>
        </w:rPr>
        <w:t xml:space="preserve">  核验员：</w:t>
      </w:r>
      <w:r>
        <w:rPr>
          <w:rFonts w:hint="eastAsia" w:cs="宋体"/>
          <w:szCs w:val="21"/>
          <w:u w:val="single"/>
        </w:rPr>
        <w:t xml:space="preserve">               </w:t>
      </w:r>
      <w:r>
        <w:rPr>
          <w:rFonts w:hint="eastAsia" w:cs="宋体"/>
          <w:szCs w:val="21"/>
        </w:rPr>
        <w:t xml:space="preserve"> 校准日期：     年    月    日</w:t>
      </w:r>
    </w:p>
    <w:p w14:paraId="1F016A6A"/>
    <w:p w14:paraId="145C14B1">
      <w:pPr>
        <w:ind w:left="-617" w:leftChars="-257" w:right="-792" w:rightChars="-330" w:firstLine="600" w:firstLineChars="250"/>
        <w:rPr>
          <w:szCs w:val="21"/>
          <w:u w:val="single"/>
        </w:rPr>
        <w:sectPr>
          <w:pgSz w:w="11906" w:h="16838"/>
          <w:pgMar w:top="1440" w:right="1134" w:bottom="1440" w:left="1134" w:header="851" w:footer="992" w:gutter="0"/>
          <w:cols w:space="720" w:num="1"/>
          <w:docGrid w:type="lines" w:linePitch="312" w:charSpace="0"/>
        </w:sectPr>
      </w:pPr>
      <w:r>
        <w:rPr>
          <w:rFonts w:hint="eastAsia"/>
          <w:szCs w:val="21"/>
        </w:rPr>
        <w:t>校准地点：□本实验室</w:t>
      </w:r>
      <w:r>
        <w:rPr>
          <w:rFonts w:hint="eastAsia"/>
          <w:szCs w:val="21"/>
          <w:u w:val="single"/>
        </w:rPr>
        <w:t xml:space="preserve">                             </w:t>
      </w:r>
      <w:r>
        <w:rPr>
          <w:rFonts w:hint="eastAsia"/>
          <w:szCs w:val="21"/>
        </w:rPr>
        <w:t>□现场</w:t>
      </w:r>
      <w:r>
        <w:rPr>
          <w:rFonts w:hint="eastAsia"/>
          <w:szCs w:val="21"/>
          <w:u w:val="single"/>
        </w:rPr>
        <w:t xml:space="preserve">                                    </w:t>
      </w:r>
    </w:p>
    <w:p w14:paraId="2B9275E9">
      <w:pPr>
        <w:ind w:left="0"/>
        <w:jc w:val="center"/>
        <w:rPr>
          <w:bCs/>
        </w:rPr>
      </w:pPr>
    </w:p>
    <w:p w14:paraId="2CC23A8C">
      <w:pPr>
        <w:ind w:left="0"/>
        <w:jc w:val="center"/>
        <w:rPr>
          <w:bCs/>
        </w:rPr>
      </w:pPr>
      <w:r>
        <w:rPr>
          <w:rFonts w:hint="eastAsia"/>
          <w:bCs/>
        </w:rPr>
        <w:t>不确定度计算汇总表</w:t>
      </w:r>
    </w:p>
    <w:tbl>
      <w:tblPr>
        <w:tblStyle w:val="21"/>
        <w:tblW w:w="14035" w:type="dxa"/>
        <w:tblInd w:w="103" w:type="dxa"/>
        <w:tblLayout w:type="autofit"/>
        <w:tblCellMar>
          <w:top w:w="0" w:type="dxa"/>
          <w:left w:w="108" w:type="dxa"/>
          <w:bottom w:w="0" w:type="dxa"/>
          <w:right w:w="108" w:type="dxa"/>
        </w:tblCellMar>
      </w:tblPr>
      <w:tblGrid>
        <w:gridCol w:w="2898"/>
        <w:gridCol w:w="981"/>
        <w:gridCol w:w="436"/>
        <w:gridCol w:w="1215"/>
        <w:gridCol w:w="1215"/>
        <w:gridCol w:w="1215"/>
        <w:gridCol w:w="1215"/>
        <w:gridCol w:w="1215"/>
        <w:gridCol w:w="1215"/>
        <w:gridCol w:w="1215"/>
        <w:gridCol w:w="1215"/>
      </w:tblGrid>
      <w:tr w14:paraId="2FEFB96B">
        <w:tblPrEx>
          <w:tblCellMar>
            <w:top w:w="0" w:type="dxa"/>
            <w:left w:w="108" w:type="dxa"/>
            <w:bottom w:w="0" w:type="dxa"/>
            <w:right w:w="108" w:type="dxa"/>
          </w:tblCellMar>
        </w:tblPrEx>
        <w:trPr>
          <w:trHeight w:val="440" w:hRule="atLeast"/>
        </w:trPr>
        <w:tc>
          <w:tcPr>
            <w:tcW w:w="4315" w:type="dxa"/>
            <w:gridSpan w:val="3"/>
            <w:tcBorders>
              <w:top w:val="single" w:color="auto" w:sz="4" w:space="0"/>
              <w:left w:val="single" w:color="auto" w:sz="4" w:space="0"/>
              <w:bottom w:val="single" w:color="auto" w:sz="4" w:space="0"/>
              <w:right w:val="single" w:color="auto" w:sz="4" w:space="0"/>
            </w:tcBorders>
            <w:noWrap/>
            <w:vAlign w:val="center"/>
          </w:tcPr>
          <w:p w14:paraId="324CCA9A">
            <w:pPr>
              <w:ind w:left="0"/>
              <w:jc w:val="center"/>
              <w:rPr>
                <w:rFonts w:hint="eastAsia" w:ascii="宋体" w:hAnsi="宋体" w:cs="宋体"/>
                <w:color w:val="000000"/>
                <w:kern w:val="0"/>
                <w:sz w:val="22"/>
                <w:szCs w:val="22"/>
              </w:rPr>
            </w:pPr>
            <w:r>
              <w:rPr>
                <w:rFonts w:hint="eastAsia" w:ascii="宋体" w:hAnsi="宋体" w:cs="宋体"/>
                <w:color w:val="000000"/>
                <w:kern w:val="0"/>
                <w:sz w:val="22"/>
                <w:szCs w:val="22"/>
              </w:rPr>
              <w:t>不确定度影响分量</w:t>
            </w:r>
          </w:p>
        </w:tc>
        <w:tc>
          <w:tcPr>
            <w:tcW w:w="9720" w:type="dxa"/>
            <w:gridSpan w:val="8"/>
            <w:tcBorders>
              <w:top w:val="single" w:color="auto" w:sz="4" w:space="0"/>
              <w:left w:val="nil"/>
              <w:bottom w:val="single" w:color="auto" w:sz="4" w:space="0"/>
              <w:right w:val="single" w:color="auto" w:sz="4" w:space="0"/>
            </w:tcBorders>
            <w:vAlign w:val="center"/>
          </w:tcPr>
          <w:p w14:paraId="47054332">
            <w:pPr>
              <w:ind w:left="0"/>
              <w:jc w:val="center"/>
              <w:rPr>
                <w:color w:val="000000"/>
                <w:kern w:val="0"/>
                <w:sz w:val="22"/>
                <w:szCs w:val="22"/>
              </w:rPr>
            </w:pPr>
            <w:r>
              <w:rPr>
                <w:rFonts w:hint="eastAsia" w:ascii="宋体" w:hAnsi="宋体"/>
                <w:color w:val="000000"/>
                <w:kern w:val="0"/>
                <w:sz w:val="22"/>
                <w:szCs w:val="22"/>
              </w:rPr>
              <w:t>载荷、显示值、误差、不确定度</w:t>
            </w:r>
            <w:r>
              <w:t xml:space="preserve">(  </w:t>
            </w:r>
            <w:r>
              <w:rPr>
                <w:rFonts w:hint="eastAsia"/>
              </w:rPr>
              <w:t xml:space="preserve"> </w:t>
            </w:r>
            <w:r>
              <w:t xml:space="preserve"> )</w:t>
            </w:r>
          </w:p>
        </w:tc>
      </w:tr>
      <w:tr w14:paraId="5F7A819C">
        <w:tblPrEx>
          <w:tblCellMar>
            <w:top w:w="0" w:type="dxa"/>
            <w:left w:w="108" w:type="dxa"/>
            <w:bottom w:w="0" w:type="dxa"/>
            <w:right w:w="108" w:type="dxa"/>
          </w:tblCellMar>
        </w:tblPrEx>
        <w:trPr>
          <w:trHeight w:val="440" w:hRule="atLeast"/>
        </w:trPr>
        <w:tc>
          <w:tcPr>
            <w:tcW w:w="2898" w:type="dxa"/>
            <w:tcBorders>
              <w:top w:val="nil"/>
              <w:left w:val="single" w:color="auto" w:sz="4" w:space="0"/>
              <w:bottom w:val="single" w:color="auto" w:sz="4" w:space="0"/>
              <w:right w:val="single" w:color="auto" w:sz="4" w:space="0"/>
            </w:tcBorders>
            <w:noWrap/>
            <w:vAlign w:val="center"/>
          </w:tcPr>
          <w:p w14:paraId="1AA91910">
            <w:pPr>
              <w:ind w:left="0"/>
              <w:jc w:val="center"/>
              <w:rPr>
                <w:rFonts w:hint="eastAsia" w:ascii="宋体" w:hAnsi="宋体" w:cs="宋体"/>
                <w:color w:val="000000"/>
                <w:kern w:val="0"/>
                <w:sz w:val="22"/>
                <w:szCs w:val="22"/>
              </w:rPr>
            </w:pPr>
            <w:r>
              <w:rPr>
                <w:rFonts w:hint="eastAsia" w:ascii="宋体" w:hAnsi="宋体" w:cs="宋体"/>
                <w:color w:val="000000"/>
                <w:kern w:val="0"/>
                <w:sz w:val="22"/>
                <w:szCs w:val="22"/>
              </w:rPr>
              <w:t>试验载荷</w:t>
            </w:r>
          </w:p>
        </w:tc>
        <w:tc>
          <w:tcPr>
            <w:tcW w:w="981" w:type="dxa"/>
            <w:tcBorders>
              <w:top w:val="nil"/>
              <w:left w:val="nil"/>
              <w:bottom w:val="single" w:color="auto" w:sz="4" w:space="0"/>
              <w:right w:val="single" w:color="auto" w:sz="4" w:space="0"/>
            </w:tcBorders>
            <w:noWrap/>
            <w:vAlign w:val="center"/>
          </w:tcPr>
          <w:p w14:paraId="64333076">
            <w:pPr>
              <w:ind w:left="0"/>
              <w:jc w:val="center"/>
              <w:rPr>
                <w:color w:val="000000"/>
                <w:kern w:val="0"/>
                <w:sz w:val="22"/>
                <w:szCs w:val="22"/>
              </w:rPr>
            </w:pPr>
            <w:r>
              <w:rPr>
                <w:i/>
                <w:iCs/>
                <w:color w:val="000000"/>
                <w:kern w:val="0"/>
                <w:sz w:val="22"/>
                <w:szCs w:val="22"/>
              </w:rPr>
              <w:t>L</w:t>
            </w:r>
          </w:p>
        </w:tc>
        <w:tc>
          <w:tcPr>
            <w:tcW w:w="436" w:type="dxa"/>
            <w:tcBorders>
              <w:top w:val="nil"/>
              <w:left w:val="nil"/>
              <w:bottom w:val="single" w:color="auto" w:sz="4" w:space="0"/>
              <w:right w:val="single" w:color="auto" w:sz="4" w:space="0"/>
            </w:tcBorders>
            <w:noWrap/>
            <w:vAlign w:val="center"/>
          </w:tcPr>
          <w:p w14:paraId="1AD6FACF">
            <w:pPr>
              <w:ind w:left="0"/>
              <w:jc w:val="center"/>
              <w:rPr>
                <w:color w:val="000000"/>
                <w:kern w:val="0"/>
                <w:sz w:val="22"/>
                <w:szCs w:val="22"/>
              </w:rPr>
            </w:pPr>
          </w:p>
        </w:tc>
        <w:tc>
          <w:tcPr>
            <w:tcW w:w="1215" w:type="dxa"/>
            <w:tcBorders>
              <w:top w:val="nil"/>
              <w:left w:val="nil"/>
              <w:bottom w:val="single" w:color="auto" w:sz="4" w:space="0"/>
              <w:right w:val="single" w:color="auto" w:sz="4" w:space="0"/>
            </w:tcBorders>
            <w:noWrap/>
            <w:vAlign w:val="center"/>
          </w:tcPr>
          <w:p w14:paraId="446085CE">
            <w:pPr>
              <w:ind w:left="0"/>
              <w:jc w:val="center"/>
              <w:rPr>
                <w:color w:val="000000"/>
                <w:kern w:val="0"/>
                <w:sz w:val="22"/>
                <w:szCs w:val="22"/>
              </w:rPr>
            </w:pPr>
          </w:p>
        </w:tc>
        <w:tc>
          <w:tcPr>
            <w:tcW w:w="1215" w:type="dxa"/>
            <w:tcBorders>
              <w:top w:val="nil"/>
              <w:left w:val="nil"/>
              <w:bottom w:val="single" w:color="auto" w:sz="4" w:space="0"/>
              <w:right w:val="single" w:color="auto" w:sz="4" w:space="0"/>
            </w:tcBorders>
            <w:noWrap/>
            <w:vAlign w:val="center"/>
          </w:tcPr>
          <w:p w14:paraId="45FA08ED">
            <w:pPr>
              <w:ind w:left="0"/>
              <w:jc w:val="center"/>
              <w:rPr>
                <w:color w:val="000000"/>
                <w:kern w:val="0"/>
                <w:sz w:val="22"/>
                <w:szCs w:val="22"/>
              </w:rPr>
            </w:pPr>
          </w:p>
        </w:tc>
        <w:tc>
          <w:tcPr>
            <w:tcW w:w="1215" w:type="dxa"/>
            <w:tcBorders>
              <w:top w:val="nil"/>
              <w:left w:val="nil"/>
              <w:bottom w:val="single" w:color="auto" w:sz="4" w:space="0"/>
              <w:right w:val="single" w:color="auto" w:sz="4" w:space="0"/>
            </w:tcBorders>
            <w:noWrap/>
            <w:vAlign w:val="center"/>
          </w:tcPr>
          <w:p w14:paraId="243544D1">
            <w:pPr>
              <w:ind w:left="0"/>
              <w:jc w:val="center"/>
              <w:rPr>
                <w:color w:val="000000"/>
                <w:kern w:val="0"/>
                <w:sz w:val="22"/>
                <w:szCs w:val="22"/>
              </w:rPr>
            </w:pPr>
          </w:p>
        </w:tc>
        <w:tc>
          <w:tcPr>
            <w:tcW w:w="1215" w:type="dxa"/>
            <w:tcBorders>
              <w:top w:val="single" w:color="auto" w:sz="4" w:space="0"/>
              <w:left w:val="nil"/>
              <w:bottom w:val="single" w:color="auto" w:sz="4" w:space="0"/>
              <w:right w:val="single" w:color="auto" w:sz="4" w:space="0"/>
            </w:tcBorders>
            <w:vAlign w:val="center"/>
          </w:tcPr>
          <w:p w14:paraId="2A9DBBCD">
            <w:pPr>
              <w:ind w:left="0"/>
              <w:jc w:val="center"/>
              <w:rPr>
                <w:color w:val="000000"/>
                <w:kern w:val="0"/>
                <w:sz w:val="22"/>
                <w:szCs w:val="22"/>
              </w:rPr>
            </w:pPr>
          </w:p>
        </w:tc>
        <w:tc>
          <w:tcPr>
            <w:tcW w:w="1215" w:type="dxa"/>
            <w:tcBorders>
              <w:top w:val="single" w:color="auto" w:sz="4" w:space="0"/>
              <w:left w:val="single" w:color="auto" w:sz="4" w:space="0"/>
              <w:bottom w:val="single" w:color="auto" w:sz="4" w:space="0"/>
              <w:right w:val="single" w:color="auto" w:sz="4" w:space="0"/>
            </w:tcBorders>
            <w:noWrap/>
            <w:vAlign w:val="center"/>
          </w:tcPr>
          <w:p w14:paraId="003A71F5">
            <w:pPr>
              <w:ind w:left="0"/>
              <w:jc w:val="center"/>
              <w:rPr>
                <w:color w:val="000000"/>
                <w:kern w:val="0"/>
                <w:sz w:val="22"/>
                <w:szCs w:val="22"/>
              </w:rPr>
            </w:pPr>
          </w:p>
        </w:tc>
        <w:tc>
          <w:tcPr>
            <w:tcW w:w="1215" w:type="dxa"/>
            <w:tcBorders>
              <w:top w:val="nil"/>
              <w:left w:val="nil"/>
              <w:bottom w:val="single" w:color="auto" w:sz="4" w:space="0"/>
              <w:right w:val="single" w:color="auto" w:sz="4" w:space="0"/>
            </w:tcBorders>
            <w:noWrap/>
            <w:vAlign w:val="center"/>
          </w:tcPr>
          <w:p w14:paraId="5D32663F">
            <w:pPr>
              <w:ind w:left="0"/>
              <w:jc w:val="center"/>
              <w:rPr>
                <w:color w:val="000000"/>
                <w:kern w:val="0"/>
                <w:sz w:val="22"/>
                <w:szCs w:val="22"/>
              </w:rPr>
            </w:pPr>
          </w:p>
        </w:tc>
        <w:tc>
          <w:tcPr>
            <w:tcW w:w="1215" w:type="dxa"/>
            <w:tcBorders>
              <w:top w:val="nil"/>
              <w:left w:val="nil"/>
              <w:bottom w:val="single" w:color="auto" w:sz="4" w:space="0"/>
              <w:right w:val="single" w:color="auto" w:sz="4" w:space="0"/>
            </w:tcBorders>
            <w:noWrap/>
            <w:vAlign w:val="center"/>
          </w:tcPr>
          <w:p w14:paraId="71895919">
            <w:pPr>
              <w:ind w:left="0"/>
              <w:jc w:val="center"/>
              <w:rPr>
                <w:color w:val="000000"/>
                <w:kern w:val="0"/>
                <w:sz w:val="22"/>
                <w:szCs w:val="22"/>
              </w:rPr>
            </w:pPr>
          </w:p>
        </w:tc>
        <w:tc>
          <w:tcPr>
            <w:tcW w:w="1215" w:type="dxa"/>
            <w:tcBorders>
              <w:top w:val="nil"/>
              <w:left w:val="nil"/>
              <w:bottom w:val="single" w:color="auto" w:sz="4" w:space="0"/>
              <w:right w:val="single" w:color="auto" w:sz="4" w:space="0"/>
            </w:tcBorders>
            <w:noWrap/>
            <w:vAlign w:val="center"/>
          </w:tcPr>
          <w:p w14:paraId="3D2C16FB">
            <w:pPr>
              <w:ind w:left="0"/>
              <w:jc w:val="center"/>
              <w:rPr>
                <w:color w:val="000000"/>
                <w:kern w:val="0"/>
                <w:sz w:val="22"/>
                <w:szCs w:val="22"/>
              </w:rPr>
            </w:pPr>
          </w:p>
        </w:tc>
      </w:tr>
      <w:tr w14:paraId="4092E42C">
        <w:tblPrEx>
          <w:tblCellMar>
            <w:top w:w="0" w:type="dxa"/>
            <w:left w:w="108" w:type="dxa"/>
            <w:bottom w:w="0" w:type="dxa"/>
            <w:right w:w="108" w:type="dxa"/>
          </w:tblCellMar>
        </w:tblPrEx>
        <w:trPr>
          <w:trHeight w:val="440" w:hRule="atLeast"/>
        </w:trPr>
        <w:tc>
          <w:tcPr>
            <w:tcW w:w="2898" w:type="dxa"/>
            <w:tcBorders>
              <w:top w:val="nil"/>
              <w:left w:val="single" w:color="auto" w:sz="4" w:space="0"/>
              <w:bottom w:val="single" w:color="auto" w:sz="4" w:space="0"/>
              <w:right w:val="single" w:color="auto" w:sz="4" w:space="0"/>
            </w:tcBorders>
            <w:noWrap/>
            <w:vAlign w:val="center"/>
          </w:tcPr>
          <w:p w14:paraId="79CB231F">
            <w:pPr>
              <w:ind w:left="0"/>
              <w:jc w:val="center"/>
              <w:rPr>
                <w:rFonts w:hint="eastAsia" w:ascii="宋体" w:hAnsi="宋体" w:cs="宋体"/>
                <w:color w:val="000000"/>
                <w:kern w:val="0"/>
                <w:sz w:val="22"/>
                <w:szCs w:val="22"/>
              </w:rPr>
            </w:pPr>
            <w:r>
              <w:rPr>
                <w:rFonts w:hint="eastAsia" w:ascii="宋体" w:hAnsi="宋体" w:cs="宋体"/>
                <w:color w:val="000000"/>
                <w:kern w:val="0"/>
                <w:sz w:val="22"/>
                <w:szCs w:val="22"/>
              </w:rPr>
              <w:t>示值</w:t>
            </w:r>
          </w:p>
        </w:tc>
        <w:tc>
          <w:tcPr>
            <w:tcW w:w="981" w:type="dxa"/>
            <w:tcBorders>
              <w:top w:val="nil"/>
              <w:left w:val="nil"/>
              <w:bottom w:val="single" w:color="auto" w:sz="4" w:space="0"/>
              <w:right w:val="single" w:color="auto" w:sz="4" w:space="0"/>
            </w:tcBorders>
            <w:noWrap/>
            <w:vAlign w:val="center"/>
          </w:tcPr>
          <w:p w14:paraId="010F5A38">
            <w:pPr>
              <w:ind w:left="0"/>
              <w:jc w:val="center"/>
              <w:rPr>
                <w:i/>
                <w:iCs/>
                <w:color w:val="000000"/>
                <w:kern w:val="0"/>
                <w:sz w:val="22"/>
                <w:szCs w:val="22"/>
              </w:rPr>
            </w:pPr>
            <w:r>
              <w:rPr>
                <w:i/>
                <w:iCs/>
                <w:color w:val="000000"/>
                <w:kern w:val="0"/>
                <w:sz w:val="22"/>
                <w:szCs w:val="22"/>
              </w:rPr>
              <w:t>I</w:t>
            </w:r>
          </w:p>
        </w:tc>
        <w:tc>
          <w:tcPr>
            <w:tcW w:w="436" w:type="dxa"/>
            <w:tcBorders>
              <w:top w:val="nil"/>
              <w:left w:val="nil"/>
              <w:bottom w:val="single" w:color="auto" w:sz="4" w:space="0"/>
              <w:right w:val="single" w:color="auto" w:sz="4" w:space="0"/>
            </w:tcBorders>
            <w:noWrap/>
            <w:vAlign w:val="center"/>
          </w:tcPr>
          <w:p w14:paraId="4504D6DB">
            <w:pPr>
              <w:ind w:left="0"/>
              <w:jc w:val="center"/>
              <w:rPr>
                <w:color w:val="000000"/>
                <w:kern w:val="0"/>
                <w:sz w:val="22"/>
                <w:szCs w:val="22"/>
              </w:rPr>
            </w:pPr>
          </w:p>
        </w:tc>
        <w:tc>
          <w:tcPr>
            <w:tcW w:w="1215" w:type="dxa"/>
            <w:tcBorders>
              <w:top w:val="nil"/>
              <w:left w:val="nil"/>
              <w:bottom w:val="single" w:color="auto" w:sz="4" w:space="0"/>
              <w:right w:val="single" w:color="auto" w:sz="4" w:space="0"/>
            </w:tcBorders>
            <w:noWrap/>
            <w:vAlign w:val="center"/>
          </w:tcPr>
          <w:p w14:paraId="65B37875">
            <w:pPr>
              <w:ind w:left="0"/>
              <w:jc w:val="center"/>
              <w:rPr>
                <w:color w:val="000000"/>
                <w:kern w:val="0"/>
                <w:sz w:val="22"/>
                <w:szCs w:val="22"/>
              </w:rPr>
            </w:pPr>
          </w:p>
        </w:tc>
        <w:tc>
          <w:tcPr>
            <w:tcW w:w="1215" w:type="dxa"/>
            <w:tcBorders>
              <w:top w:val="nil"/>
              <w:left w:val="nil"/>
              <w:bottom w:val="single" w:color="auto" w:sz="4" w:space="0"/>
              <w:right w:val="single" w:color="auto" w:sz="4" w:space="0"/>
            </w:tcBorders>
            <w:noWrap/>
            <w:vAlign w:val="center"/>
          </w:tcPr>
          <w:p w14:paraId="31211133">
            <w:pPr>
              <w:ind w:left="0"/>
              <w:jc w:val="center"/>
              <w:rPr>
                <w:color w:val="000000"/>
                <w:kern w:val="0"/>
                <w:sz w:val="22"/>
                <w:szCs w:val="22"/>
              </w:rPr>
            </w:pPr>
          </w:p>
        </w:tc>
        <w:tc>
          <w:tcPr>
            <w:tcW w:w="1215" w:type="dxa"/>
            <w:tcBorders>
              <w:top w:val="nil"/>
              <w:left w:val="nil"/>
              <w:bottom w:val="single" w:color="auto" w:sz="4" w:space="0"/>
              <w:right w:val="single" w:color="auto" w:sz="4" w:space="0"/>
            </w:tcBorders>
            <w:noWrap/>
            <w:vAlign w:val="center"/>
          </w:tcPr>
          <w:p w14:paraId="5C9D8C32">
            <w:pPr>
              <w:ind w:left="0"/>
              <w:jc w:val="center"/>
              <w:rPr>
                <w:color w:val="000000"/>
                <w:kern w:val="0"/>
                <w:sz w:val="22"/>
                <w:szCs w:val="22"/>
              </w:rPr>
            </w:pPr>
          </w:p>
        </w:tc>
        <w:tc>
          <w:tcPr>
            <w:tcW w:w="1215" w:type="dxa"/>
            <w:tcBorders>
              <w:top w:val="single" w:color="auto" w:sz="4" w:space="0"/>
              <w:left w:val="nil"/>
              <w:bottom w:val="single" w:color="auto" w:sz="4" w:space="0"/>
              <w:right w:val="single" w:color="auto" w:sz="4" w:space="0"/>
            </w:tcBorders>
            <w:vAlign w:val="center"/>
          </w:tcPr>
          <w:p w14:paraId="23183C9F">
            <w:pPr>
              <w:ind w:left="0"/>
              <w:jc w:val="center"/>
              <w:rPr>
                <w:color w:val="000000"/>
                <w:kern w:val="0"/>
                <w:sz w:val="22"/>
                <w:szCs w:val="22"/>
              </w:rPr>
            </w:pPr>
          </w:p>
        </w:tc>
        <w:tc>
          <w:tcPr>
            <w:tcW w:w="1215" w:type="dxa"/>
            <w:tcBorders>
              <w:top w:val="single" w:color="auto" w:sz="4" w:space="0"/>
              <w:left w:val="single" w:color="auto" w:sz="4" w:space="0"/>
              <w:bottom w:val="single" w:color="auto" w:sz="4" w:space="0"/>
              <w:right w:val="single" w:color="auto" w:sz="4" w:space="0"/>
            </w:tcBorders>
            <w:noWrap/>
            <w:vAlign w:val="center"/>
          </w:tcPr>
          <w:p w14:paraId="73DA6D29">
            <w:pPr>
              <w:ind w:left="0"/>
              <w:jc w:val="center"/>
              <w:rPr>
                <w:color w:val="000000"/>
                <w:kern w:val="0"/>
                <w:sz w:val="22"/>
                <w:szCs w:val="22"/>
              </w:rPr>
            </w:pPr>
          </w:p>
        </w:tc>
        <w:tc>
          <w:tcPr>
            <w:tcW w:w="1215" w:type="dxa"/>
            <w:tcBorders>
              <w:top w:val="nil"/>
              <w:left w:val="nil"/>
              <w:bottom w:val="single" w:color="auto" w:sz="4" w:space="0"/>
              <w:right w:val="single" w:color="auto" w:sz="4" w:space="0"/>
            </w:tcBorders>
            <w:noWrap/>
            <w:vAlign w:val="center"/>
          </w:tcPr>
          <w:p w14:paraId="1D9AB016">
            <w:pPr>
              <w:ind w:left="0"/>
              <w:jc w:val="center"/>
              <w:rPr>
                <w:color w:val="000000"/>
                <w:kern w:val="0"/>
                <w:sz w:val="22"/>
                <w:szCs w:val="22"/>
              </w:rPr>
            </w:pPr>
          </w:p>
        </w:tc>
        <w:tc>
          <w:tcPr>
            <w:tcW w:w="1215" w:type="dxa"/>
            <w:tcBorders>
              <w:top w:val="nil"/>
              <w:left w:val="nil"/>
              <w:bottom w:val="single" w:color="auto" w:sz="4" w:space="0"/>
              <w:right w:val="single" w:color="auto" w:sz="4" w:space="0"/>
            </w:tcBorders>
            <w:noWrap/>
            <w:vAlign w:val="center"/>
          </w:tcPr>
          <w:p w14:paraId="52620EF0">
            <w:pPr>
              <w:ind w:left="0"/>
              <w:jc w:val="center"/>
              <w:rPr>
                <w:color w:val="000000"/>
                <w:kern w:val="0"/>
                <w:sz w:val="22"/>
                <w:szCs w:val="22"/>
              </w:rPr>
            </w:pPr>
          </w:p>
        </w:tc>
        <w:tc>
          <w:tcPr>
            <w:tcW w:w="1215" w:type="dxa"/>
            <w:tcBorders>
              <w:top w:val="nil"/>
              <w:left w:val="nil"/>
              <w:bottom w:val="single" w:color="auto" w:sz="4" w:space="0"/>
              <w:right w:val="single" w:color="auto" w:sz="4" w:space="0"/>
            </w:tcBorders>
            <w:noWrap/>
            <w:vAlign w:val="center"/>
          </w:tcPr>
          <w:p w14:paraId="16E3E9F4">
            <w:pPr>
              <w:ind w:left="0"/>
              <w:jc w:val="center"/>
              <w:rPr>
                <w:color w:val="000000"/>
                <w:kern w:val="0"/>
                <w:sz w:val="22"/>
                <w:szCs w:val="22"/>
              </w:rPr>
            </w:pPr>
          </w:p>
        </w:tc>
      </w:tr>
      <w:tr w14:paraId="094DCF7C">
        <w:tblPrEx>
          <w:tblCellMar>
            <w:top w:w="0" w:type="dxa"/>
            <w:left w:w="108" w:type="dxa"/>
            <w:bottom w:w="0" w:type="dxa"/>
            <w:right w:w="108" w:type="dxa"/>
          </w:tblCellMar>
        </w:tblPrEx>
        <w:trPr>
          <w:trHeight w:val="440" w:hRule="atLeast"/>
        </w:trPr>
        <w:tc>
          <w:tcPr>
            <w:tcW w:w="2898" w:type="dxa"/>
            <w:tcBorders>
              <w:top w:val="nil"/>
              <w:left w:val="single" w:color="auto" w:sz="4" w:space="0"/>
              <w:bottom w:val="single" w:color="auto" w:sz="4" w:space="0"/>
              <w:right w:val="single" w:color="auto" w:sz="4" w:space="0"/>
            </w:tcBorders>
            <w:noWrap/>
            <w:vAlign w:val="center"/>
          </w:tcPr>
          <w:p w14:paraId="5E483E1B">
            <w:pPr>
              <w:ind w:left="0"/>
              <w:jc w:val="center"/>
              <w:rPr>
                <w:rFonts w:hint="eastAsia" w:ascii="宋体" w:hAnsi="宋体" w:cs="宋体"/>
                <w:color w:val="000000"/>
                <w:kern w:val="0"/>
                <w:sz w:val="22"/>
                <w:szCs w:val="22"/>
              </w:rPr>
            </w:pPr>
            <w:r>
              <w:rPr>
                <w:rFonts w:hint="eastAsia" w:ascii="宋体" w:hAnsi="宋体" w:cs="宋体"/>
                <w:color w:val="000000"/>
                <w:kern w:val="0"/>
                <w:sz w:val="22"/>
                <w:szCs w:val="22"/>
              </w:rPr>
              <w:t>示值误差</w:t>
            </w:r>
          </w:p>
        </w:tc>
        <w:tc>
          <w:tcPr>
            <w:tcW w:w="981" w:type="dxa"/>
            <w:tcBorders>
              <w:top w:val="nil"/>
              <w:left w:val="nil"/>
              <w:bottom w:val="single" w:color="auto" w:sz="4" w:space="0"/>
              <w:right w:val="single" w:color="auto" w:sz="4" w:space="0"/>
            </w:tcBorders>
            <w:noWrap/>
            <w:vAlign w:val="center"/>
          </w:tcPr>
          <w:p w14:paraId="14836EA6">
            <w:pPr>
              <w:ind w:left="0"/>
              <w:jc w:val="center"/>
              <w:rPr>
                <w:i/>
                <w:iCs/>
                <w:color w:val="000000"/>
                <w:kern w:val="0"/>
                <w:sz w:val="22"/>
                <w:szCs w:val="22"/>
              </w:rPr>
            </w:pPr>
            <w:r>
              <w:rPr>
                <w:i/>
                <w:iCs/>
                <w:color w:val="000000"/>
                <w:kern w:val="0"/>
                <w:sz w:val="22"/>
                <w:szCs w:val="22"/>
              </w:rPr>
              <w:t>E</w:t>
            </w:r>
          </w:p>
        </w:tc>
        <w:tc>
          <w:tcPr>
            <w:tcW w:w="436" w:type="dxa"/>
            <w:tcBorders>
              <w:top w:val="nil"/>
              <w:left w:val="nil"/>
              <w:bottom w:val="single" w:color="auto" w:sz="4" w:space="0"/>
              <w:right w:val="single" w:color="auto" w:sz="4" w:space="0"/>
            </w:tcBorders>
            <w:noWrap/>
            <w:vAlign w:val="center"/>
          </w:tcPr>
          <w:p w14:paraId="11388BCF">
            <w:pPr>
              <w:ind w:left="0"/>
              <w:jc w:val="center"/>
              <w:rPr>
                <w:color w:val="000000"/>
                <w:kern w:val="0"/>
                <w:sz w:val="22"/>
                <w:szCs w:val="22"/>
              </w:rPr>
            </w:pPr>
          </w:p>
        </w:tc>
        <w:tc>
          <w:tcPr>
            <w:tcW w:w="1215" w:type="dxa"/>
            <w:tcBorders>
              <w:top w:val="nil"/>
              <w:left w:val="nil"/>
              <w:bottom w:val="single" w:color="auto" w:sz="4" w:space="0"/>
              <w:right w:val="single" w:color="auto" w:sz="4" w:space="0"/>
            </w:tcBorders>
            <w:noWrap/>
            <w:vAlign w:val="center"/>
          </w:tcPr>
          <w:p w14:paraId="41582BD6">
            <w:pPr>
              <w:ind w:left="0"/>
              <w:jc w:val="center"/>
              <w:rPr>
                <w:color w:val="000000"/>
                <w:kern w:val="0"/>
                <w:sz w:val="22"/>
                <w:szCs w:val="22"/>
              </w:rPr>
            </w:pPr>
          </w:p>
        </w:tc>
        <w:tc>
          <w:tcPr>
            <w:tcW w:w="1215" w:type="dxa"/>
            <w:tcBorders>
              <w:top w:val="nil"/>
              <w:left w:val="nil"/>
              <w:bottom w:val="single" w:color="auto" w:sz="4" w:space="0"/>
              <w:right w:val="single" w:color="auto" w:sz="4" w:space="0"/>
            </w:tcBorders>
            <w:noWrap/>
            <w:vAlign w:val="center"/>
          </w:tcPr>
          <w:p w14:paraId="6E968DF3">
            <w:pPr>
              <w:ind w:left="0"/>
              <w:jc w:val="center"/>
              <w:rPr>
                <w:color w:val="000000"/>
                <w:kern w:val="0"/>
                <w:sz w:val="22"/>
                <w:szCs w:val="22"/>
              </w:rPr>
            </w:pPr>
          </w:p>
        </w:tc>
        <w:tc>
          <w:tcPr>
            <w:tcW w:w="1215" w:type="dxa"/>
            <w:tcBorders>
              <w:top w:val="nil"/>
              <w:left w:val="nil"/>
              <w:bottom w:val="single" w:color="auto" w:sz="4" w:space="0"/>
              <w:right w:val="single" w:color="auto" w:sz="4" w:space="0"/>
            </w:tcBorders>
            <w:noWrap/>
            <w:vAlign w:val="center"/>
          </w:tcPr>
          <w:p w14:paraId="20D0A1FC">
            <w:pPr>
              <w:ind w:left="0"/>
              <w:jc w:val="center"/>
              <w:rPr>
                <w:color w:val="000000"/>
                <w:kern w:val="0"/>
                <w:sz w:val="22"/>
                <w:szCs w:val="22"/>
              </w:rPr>
            </w:pPr>
          </w:p>
        </w:tc>
        <w:tc>
          <w:tcPr>
            <w:tcW w:w="1215" w:type="dxa"/>
            <w:tcBorders>
              <w:top w:val="single" w:color="auto" w:sz="4" w:space="0"/>
              <w:left w:val="nil"/>
              <w:bottom w:val="single" w:color="auto" w:sz="4" w:space="0"/>
              <w:right w:val="single" w:color="auto" w:sz="4" w:space="0"/>
            </w:tcBorders>
            <w:vAlign w:val="center"/>
          </w:tcPr>
          <w:p w14:paraId="7EE2FA03">
            <w:pPr>
              <w:ind w:left="0"/>
              <w:jc w:val="center"/>
              <w:rPr>
                <w:color w:val="000000"/>
                <w:kern w:val="0"/>
                <w:sz w:val="22"/>
                <w:szCs w:val="22"/>
              </w:rPr>
            </w:pPr>
          </w:p>
        </w:tc>
        <w:tc>
          <w:tcPr>
            <w:tcW w:w="1215" w:type="dxa"/>
            <w:tcBorders>
              <w:top w:val="single" w:color="auto" w:sz="4" w:space="0"/>
              <w:left w:val="single" w:color="auto" w:sz="4" w:space="0"/>
              <w:bottom w:val="single" w:color="auto" w:sz="4" w:space="0"/>
              <w:right w:val="single" w:color="auto" w:sz="4" w:space="0"/>
            </w:tcBorders>
            <w:noWrap/>
            <w:vAlign w:val="center"/>
          </w:tcPr>
          <w:p w14:paraId="649E5181">
            <w:pPr>
              <w:ind w:left="0"/>
              <w:jc w:val="center"/>
              <w:rPr>
                <w:color w:val="000000"/>
                <w:kern w:val="0"/>
                <w:sz w:val="22"/>
                <w:szCs w:val="22"/>
              </w:rPr>
            </w:pPr>
          </w:p>
        </w:tc>
        <w:tc>
          <w:tcPr>
            <w:tcW w:w="1215" w:type="dxa"/>
            <w:tcBorders>
              <w:top w:val="nil"/>
              <w:left w:val="nil"/>
              <w:bottom w:val="single" w:color="auto" w:sz="4" w:space="0"/>
              <w:right w:val="single" w:color="auto" w:sz="4" w:space="0"/>
            </w:tcBorders>
            <w:noWrap/>
            <w:vAlign w:val="center"/>
          </w:tcPr>
          <w:p w14:paraId="28A9AAFD">
            <w:pPr>
              <w:ind w:left="0"/>
              <w:jc w:val="center"/>
              <w:rPr>
                <w:color w:val="000000"/>
                <w:kern w:val="0"/>
                <w:sz w:val="22"/>
                <w:szCs w:val="22"/>
              </w:rPr>
            </w:pPr>
          </w:p>
        </w:tc>
        <w:tc>
          <w:tcPr>
            <w:tcW w:w="1215" w:type="dxa"/>
            <w:tcBorders>
              <w:top w:val="nil"/>
              <w:left w:val="nil"/>
              <w:bottom w:val="single" w:color="auto" w:sz="4" w:space="0"/>
              <w:right w:val="single" w:color="auto" w:sz="4" w:space="0"/>
            </w:tcBorders>
            <w:noWrap/>
            <w:vAlign w:val="center"/>
          </w:tcPr>
          <w:p w14:paraId="10117FAF">
            <w:pPr>
              <w:ind w:left="0"/>
              <w:jc w:val="center"/>
              <w:rPr>
                <w:color w:val="000000"/>
                <w:kern w:val="0"/>
                <w:sz w:val="22"/>
                <w:szCs w:val="22"/>
              </w:rPr>
            </w:pPr>
          </w:p>
        </w:tc>
        <w:tc>
          <w:tcPr>
            <w:tcW w:w="1215" w:type="dxa"/>
            <w:tcBorders>
              <w:top w:val="nil"/>
              <w:left w:val="nil"/>
              <w:bottom w:val="single" w:color="auto" w:sz="4" w:space="0"/>
              <w:right w:val="single" w:color="auto" w:sz="4" w:space="0"/>
            </w:tcBorders>
            <w:noWrap/>
            <w:vAlign w:val="center"/>
          </w:tcPr>
          <w:p w14:paraId="0A5C12E7">
            <w:pPr>
              <w:ind w:left="0"/>
              <w:jc w:val="center"/>
              <w:rPr>
                <w:color w:val="000000"/>
                <w:kern w:val="0"/>
                <w:sz w:val="22"/>
                <w:szCs w:val="22"/>
              </w:rPr>
            </w:pPr>
          </w:p>
        </w:tc>
      </w:tr>
      <w:tr w14:paraId="73B0AF62">
        <w:tblPrEx>
          <w:tblCellMar>
            <w:top w:w="0" w:type="dxa"/>
            <w:left w:w="108" w:type="dxa"/>
            <w:bottom w:w="0" w:type="dxa"/>
            <w:right w:w="108" w:type="dxa"/>
          </w:tblCellMar>
        </w:tblPrEx>
        <w:trPr>
          <w:trHeight w:val="440" w:hRule="atLeast"/>
        </w:trPr>
        <w:tc>
          <w:tcPr>
            <w:tcW w:w="2898" w:type="dxa"/>
            <w:tcBorders>
              <w:top w:val="nil"/>
              <w:left w:val="single" w:color="auto" w:sz="4" w:space="0"/>
              <w:bottom w:val="single" w:color="auto" w:sz="4" w:space="0"/>
              <w:right w:val="single" w:color="auto" w:sz="4" w:space="0"/>
            </w:tcBorders>
            <w:noWrap/>
            <w:vAlign w:val="center"/>
          </w:tcPr>
          <w:p w14:paraId="091D77EE">
            <w:pPr>
              <w:ind w:left="0"/>
              <w:jc w:val="center"/>
              <w:rPr>
                <w:rFonts w:hint="eastAsia" w:ascii="宋体" w:hAnsi="宋体" w:cs="宋体"/>
                <w:color w:val="000000"/>
                <w:kern w:val="0"/>
                <w:sz w:val="22"/>
                <w:szCs w:val="22"/>
              </w:rPr>
            </w:pPr>
            <w:r>
              <w:rPr>
                <w:rFonts w:hint="eastAsia" w:ascii="宋体" w:hAnsi="宋体" w:cs="宋体"/>
                <w:color w:val="000000"/>
                <w:kern w:val="0"/>
                <w:sz w:val="22"/>
                <w:szCs w:val="22"/>
              </w:rPr>
              <w:t>分辨力引入</w:t>
            </w:r>
          </w:p>
        </w:tc>
        <w:tc>
          <w:tcPr>
            <w:tcW w:w="981" w:type="dxa"/>
            <w:tcBorders>
              <w:top w:val="nil"/>
              <w:left w:val="nil"/>
              <w:bottom w:val="single" w:color="auto" w:sz="4" w:space="0"/>
              <w:right w:val="single" w:color="auto" w:sz="4" w:space="0"/>
            </w:tcBorders>
            <w:noWrap/>
            <w:vAlign w:val="center"/>
          </w:tcPr>
          <w:p w14:paraId="4A8E9B8F">
            <w:pPr>
              <w:ind w:left="0"/>
              <w:jc w:val="center"/>
              <w:rPr>
                <w:i/>
                <w:iCs/>
                <w:color w:val="000000"/>
                <w:kern w:val="0"/>
                <w:sz w:val="22"/>
                <w:szCs w:val="22"/>
              </w:rPr>
            </w:pPr>
            <w:r>
              <w:rPr>
                <w:color w:val="000000"/>
                <w:kern w:val="0"/>
                <w:sz w:val="22"/>
                <w:szCs w:val="22"/>
              </w:rPr>
              <w:drawing>
                <wp:anchor distT="0" distB="0" distL="114300" distR="114300" simplePos="0" relativeHeight="251683840" behindDoc="0" locked="0" layoutInCell="1" allowOverlap="1">
                  <wp:simplePos x="0" y="0"/>
                  <wp:positionH relativeFrom="column">
                    <wp:posOffset>-13335</wp:posOffset>
                  </wp:positionH>
                  <wp:positionV relativeFrom="paragraph">
                    <wp:posOffset>902335</wp:posOffset>
                  </wp:positionV>
                  <wp:extent cx="565150" cy="228600"/>
                  <wp:effectExtent l="0" t="0" r="6350" b="0"/>
                  <wp:wrapNone/>
                  <wp:docPr id="18"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1"/>
                          <pic:cNvPicPr>
                            <a:picLocks noChangeAspect="1" noChangeArrowheads="1"/>
                          </pic:cNvPicPr>
                        </pic:nvPicPr>
                        <pic:blipFill>
                          <a:blip r:embed="rId88">
                            <a:extLst>
                              <a:ext uri="{28A0092B-C50C-407E-A947-70E740481C1C}">
                                <a14:useLocalDpi xmlns:a14="http://schemas.microsoft.com/office/drawing/2010/main" val="0"/>
                              </a:ext>
                            </a:extLst>
                          </a:blip>
                          <a:srcRect/>
                          <a:stretch>
                            <a:fillRect/>
                          </a:stretch>
                        </pic:blipFill>
                        <pic:spPr>
                          <a:xfrm>
                            <a:off x="0" y="0"/>
                            <a:ext cx="565150" cy="228600"/>
                          </a:xfrm>
                          <a:prstGeom prst="rect">
                            <a:avLst/>
                          </a:prstGeom>
                          <a:noFill/>
                          <a:ln>
                            <a:noFill/>
                          </a:ln>
                        </pic:spPr>
                      </pic:pic>
                    </a:graphicData>
                  </a:graphic>
                </wp:anchor>
              </w:drawing>
            </w:r>
            <w:r>
              <w:rPr>
                <w:i/>
                <w:iCs/>
                <w:color w:val="000000"/>
                <w:kern w:val="0"/>
                <w:sz w:val="22"/>
                <w:szCs w:val="22"/>
              </w:rPr>
              <w:drawing>
                <wp:anchor distT="0" distB="0" distL="114300" distR="114300" simplePos="0" relativeHeight="251684864" behindDoc="0" locked="0" layoutInCell="1" allowOverlap="1">
                  <wp:simplePos x="0" y="0"/>
                  <wp:positionH relativeFrom="column">
                    <wp:posOffset>-5715</wp:posOffset>
                  </wp:positionH>
                  <wp:positionV relativeFrom="paragraph">
                    <wp:posOffset>81915</wp:posOffset>
                  </wp:positionV>
                  <wp:extent cx="400050" cy="209550"/>
                  <wp:effectExtent l="0" t="0" r="0" b="0"/>
                  <wp:wrapNone/>
                  <wp:docPr id="23"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6"/>
                          <pic:cNvPicPr>
                            <a:picLocks noChangeAspect="1" noChangeArrowheads="1"/>
                          </pic:cNvPicPr>
                        </pic:nvPicPr>
                        <pic:blipFill>
                          <a:blip r:embed="rId93">
                            <a:extLst>
                              <a:ext uri="{28A0092B-C50C-407E-A947-70E740481C1C}">
                                <a14:useLocalDpi xmlns:a14="http://schemas.microsoft.com/office/drawing/2010/main" val="0"/>
                              </a:ext>
                            </a:extLst>
                          </a:blip>
                          <a:srcRect/>
                          <a:stretch>
                            <a:fillRect/>
                          </a:stretch>
                        </pic:blipFill>
                        <pic:spPr>
                          <a:xfrm>
                            <a:off x="0" y="0"/>
                            <a:ext cx="400050" cy="209550"/>
                          </a:xfrm>
                          <a:prstGeom prst="rect">
                            <a:avLst/>
                          </a:prstGeom>
                          <a:noFill/>
                          <a:ln>
                            <a:noFill/>
                          </a:ln>
                        </pic:spPr>
                      </pic:pic>
                    </a:graphicData>
                  </a:graphic>
                </wp:anchor>
              </w:drawing>
            </w:r>
            <w:r>
              <w:rPr>
                <w:color w:val="000000"/>
                <w:kern w:val="0"/>
                <w:sz w:val="22"/>
                <w:szCs w:val="22"/>
              </w:rPr>
              <w:drawing>
                <wp:anchor distT="0" distB="0" distL="114300" distR="114300" simplePos="0" relativeHeight="251685888" behindDoc="0" locked="0" layoutInCell="1" allowOverlap="1">
                  <wp:simplePos x="0" y="0"/>
                  <wp:positionH relativeFrom="column">
                    <wp:posOffset>-26035</wp:posOffset>
                  </wp:positionH>
                  <wp:positionV relativeFrom="paragraph">
                    <wp:posOffset>343535</wp:posOffset>
                  </wp:positionV>
                  <wp:extent cx="527050" cy="241300"/>
                  <wp:effectExtent l="0" t="0" r="6350" b="5080"/>
                  <wp:wrapNone/>
                  <wp:docPr id="2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5"/>
                          <pic:cNvPicPr>
                            <a:picLocks noChangeAspect="1" noChangeArrowheads="1"/>
                          </pic:cNvPicPr>
                        </pic:nvPicPr>
                        <pic:blipFill>
                          <a:blip r:embed="rId94">
                            <a:extLst>
                              <a:ext uri="{28A0092B-C50C-407E-A947-70E740481C1C}">
                                <a14:useLocalDpi xmlns:a14="http://schemas.microsoft.com/office/drawing/2010/main" val="0"/>
                              </a:ext>
                            </a:extLst>
                          </a:blip>
                          <a:srcRect/>
                          <a:stretch>
                            <a:fillRect/>
                          </a:stretch>
                        </pic:blipFill>
                        <pic:spPr>
                          <a:xfrm>
                            <a:off x="0" y="0"/>
                            <a:ext cx="527050" cy="241300"/>
                          </a:xfrm>
                          <a:prstGeom prst="rect">
                            <a:avLst/>
                          </a:prstGeom>
                          <a:noFill/>
                          <a:ln>
                            <a:noFill/>
                          </a:ln>
                        </pic:spPr>
                      </pic:pic>
                    </a:graphicData>
                  </a:graphic>
                </wp:anchor>
              </w:drawing>
            </w:r>
            <w:r>
              <w:rPr>
                <w:color w:val="000000"/>
                <w:kern w:val="0"/>
                <w:sz w:val="22"/>
                <w:szCs w:val="22"/>
              </w:rPr>
              <w:drawing>
                <wp:anchor distT="0" distB="0" distL="114300" distR="114300" simplePos="0" relativeHeight="251680768" behindDoc="0" locked="0" layoutInCell="1" allowOverlap="1">
                  <wp:simplePos x="0" y="0"/>
                  <wp:positionH relativeFrom="column">
                    <wp:posOffset>-19685</wp:posOffset>
                  </wp:positionH>
                  <wp:positionV relativeFrom="paragraph">
                    <wp:posOffset>635635</wp:posOffset>
                  </wp:positionV>
                  <wp:extent cx="527050" cy="228600"/>
                  <wp:effectExtent l="0" t="0" r="6350" b="0"/>
                  <wp:wrapNone/>
                  <wp:docPr id="2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4"/>
                          <pic:cNvPicPr>
                            <a:picLocks noChangeAspect="1" noChangeArrowheads="1"/>
                          </pic:cNvPicPr>
                        </pic:nvPicPr>
                        <pic:blipFill>
                          <a:blip r:embed="rId95">
                            <a:extLst>
                              <a:ext uri="{28A0092B-C50C-407E-A947-70E740481C1C}">
                                <a14:useLocalDpi xmlns:a14="http://schemas.microsoft.com/office/drawing/2010/main" val="0"/>
                              </a:ext>
                            </a:extLst>
                          </a:blip>
                          <a:srcRect/>
                          <a:stretch>
                            <a:fillRect/>
                          </a:stretch>
                        </pic:blipFill>
                        <pic:spPr>
                          <a:xfrm>
                            <a:off x="0" y="0"/>
                            <a:ext cx="527050" cy="228600"/>
                          </a:xfrm>
                          <a:prstGeom prst="rect">
                            <a:avLst/>
                          </a:prstGeom>
                          <a:noFill/>
                          <a:ln>
                            <a:noFill/>
                          </a:ln>
                        </pic:spPr>
                      </pic:pic>
                    </a:graphicData>
                  </a:graphic>
                </wp:anchor>
              </w:drawing>
            </w:r>
          </w:p>
        </w:tc>
        <w:tc>
          <w:tcPr>
            <w:tcW w:w="436" w:type="dxa"/>
            <w:tcBorders>
              <w:top w:val="nil"/>
              <w:left w:val="nil"/>
              <w:bottom w:val="single" w:color="auto" w:sz="4" w:space="0"/>
              <w:right w:val="single" w:color="auto" w:sz="4" w:space="0"/>
            </w:tcBorders>
            <w:noWrap/>
            <w:vAlign w:val="center"/>
          </w:tcPr>
          <w:p w14:paraId="5BF29C55">
            <w:pPr>
              <w:ind w:left="0"/>
              <w:jc w:val="center"/>
              <w:rPr>
                <w:color w:val="000000"/>
                <w:kern w:val="0"/>
                <w:sz w:val="22"/>
                <w:szCs w:val="22"/>
              </w:rPr>
            </w:pPr>
          </w:p>
        </w:tc>
        <w:tc>
          <w:tcPr>
            <w:tcW w:w="9720" w:type="dxa"/>
            <w:gridSpan w:val="8"/>
            <w:tcBorders>
              <w:top w:val="single" w:color="auto" w:sz="4" w:space="0"/>
              <w:left w:val="nil"/>
              <w:bottom w:val="single" w:color="auto" w:sz="4" w:space="0"/>
              <w:right w:val="single" w:color="auto" w:sz="4" w:space="0"/>
            </w:tcBorders>
            <w:vAlign w:val="center"/>
          </w:tcPr>
          <w:p w14:paraId="05644B7D">
            <w:pPr>
              <w:ind w:left="0"/>
              <w:jc w:val="center"/>
              <w:rPr>
                <w:color w:val="000000"/>
                <w:kern w:val="0"/>
                <w:sz w:val="22"/>
                <w:szCs w:val="22"/>
              </w:rPr>
            </w:pPr>
          </w:p>
        </w:tc>
      </w:tr>
      <w:tr w14:paraId="397F7EB1">
        <w:tblPrEx>
          <w:tblCellMar>
            <w:top w:w="0" w:type="dxa"/>
            <w:left w:w="108" w:type="dxa"/>
            <w:bottom w:w="0" w:type="dxa"/>
            <w:right w:w="108" w:type="dxa"/>
          </w:tblCellMar>
        </w:tblPrEx>
        <w:trPr>
          <w:trHeight w:val="440" w:hRule="atLeast"/>
        </w:trPr>
        <w:tc>
          <w:tcPr>
            <w:tcW w:w="2898" w:type="dxa"/>
            <w:tcBorders>
              <w:top w:val="nil"/>
              <w:left w:val="single" w:color="auto" w:sz="4" w:space="0"/>
              <w:bottom w:val="single" w:color="auto" w:sz="4" w:space="0"/>
              <w:right w:val="single" w:color="auto" w:sz="4" w:space="0"/>
            </w:tcBorders>
            <w:noWrap/>
            <w:vAlign w:val="center"/>
          </w:tcPr>
          <w:p w14:paraId="5C452C8C">
            <w:pPr>
              <w:ind w:left="0"/>
              <w:jc w:val="center"/>
              <w:rPr>
                <w:rFonts w:hint="eastAsia" w:ascii="宋体" w:hAnsi="宋体" w:cs="宋体"/>
                <w:color w:val="000000"/>
                <w:kern w:val="0"/>
                <w:sz w:val="22"/>
                <w:szCs w:val="22"/>
              </w:rPr>
            </w:pPr>
            <w:r>
              <w:rPr>
                <w:rFonts w:hint="eastAsia" w:ascii="宋体" w:hAnsi="宋体" w:cs="宋体"/>
                <w:color w:val="000000"/>
                <w:kern w:val="0"/>
                <w:sz w:val="22"/>
                <w:szCs w:val="22"/>
              </w:rPr>
              <w:t>重复性</w:t>
            </w:r>
          </w:p>
        </w:tc>
        <w:tc>
          <w:tcPr>
            <w:tcW w:w="981" w:type="dxa"/>
            <w:tcBorders>
              <w:top w:val="nil"/>
              <w:left w:val="nil"/>
              <w:bottom w:val="single" w:color="auto" w:sz="4" w:space="0"/>
              <w:right w:val="single" w:color="auto" w:sz="4" w:space="0"/>
            </w:tcBorders>
            <w:noWrap/>
            <w:vAlign w:val="center"/>
          </w:tcPr>
          <w:p w14:paraId="64CAF111">
            <w:pPr>
              <w:ind w:left="0"/>
              <w:jc w:val="center"/>
              <w:rPr>
                <w:color w:val="000000"/>
                <w:kern w:val="0"/>
                <w:sz w:val="22"/>
                <w:szCs w:val="22"/>
              </w:rPr>
            </w:pPr>
          </w:p>
        </w:tc>
        <w:tc>
          <w:tcPr>
            <w:tcW w:w="436" w:type="dxa"/>
            <w:tcBorders>
              <w:top w:val="nil"/>
              <w:left w:val="nil"/>
              <w:bottom w:val="single" w:color="auto" w:sz="4" w:space="0"/>
              <w:right w:val="single" w:color="auto" w:sz="4" w:space="0"/>
            </w:tcBorders>
            <w:noWrap/>
            <w:vAlign w:val="center"/>
          </w:tcPr>
          <w:p w14:paraId="588EFCD4">
            <w:pPr>
              <w:ind w:left="0"/>
              <w:jc w:val="center"/>
              <w:rPr>
                <w:color w:val="000000"/>
                <w:kern w:val="0"/>
                <w:sz w:val="22"/>
                <w:szCs w:val="22"/>
              </w:rPr>
            </w:pPr>
          </w:p>
        </w:tc>
        <w:tc>
          <w:tcPr>
            <w:tcW w:w="9720" w:type="dxa"/>
            <w:gridSpan w:val="8"/>
            <w:tcBorders>
              <w:top w:val="single" w:color="auto" w:sz="4" w:space="0"/>
              <w:left w:val="nil"/>
              <w:bottom w:val="single" w:color="auto" w:sz="4" w:space="0"/>
              <w:right w:val="single" w:color="auto" w:sz="4" w:space="0"/>
            </w:tcBorders>
            <w:vAlign w:val="center"/>
          </w:tcPr>
          <w:p w14:paraId="00864130">
            <w:pPr>
              <w:ind w:left="0"/>
              <w:jc w:val="center"/>
              <w:rPr>
                <w:color w:val="000000"/>
                <w:kern w:val="0"/>
                <w:sz w:val="22"/>
                <w:szCs w:val="22"/>
              </w:rPr>
            </w:pPr>
          </w:p>
        </w:tc>
      </w:tr>
      <w:tr w14:paraId="03C65B0E">
        <w:tblPrEx>
          <w:tblCellMar>
            <w:top w:w="0" w:type="dxa"/>
            <w:left w:w="108" w:type="dxa"/>
            <w:bottom w:w="0" w:type="dxa"/>
            <w:right w:w="108" w:type="dxa"/>
          </w:tblCellMar>
        </w:tblPrEx>
        <w:trPr>
          <w:trHeight w:val="440" w:hRule="atLeast"/>
        </w:trPr>
        <w:tc>
          <w:tcPr>
            <w:tcW w:w="2898" w:type="dxa"/>
            <w:tcBorders>
              <w:top w:val="nil"/>
              <w:left w:val="single" w:color="auto" w:sz="4" w:space="0"/>
              <w:bottom w:val="single" w:color="auto" w:sz="4" w:space="0"/>
              <w:right w:val="single" w:color="auto" w:sz="4" w:space="0"/>
            </w:tcBorders>
            <w:noWrap/>
            <w:vAlign w:val="center"/>
          </w:tcPr>
          <w:p w14:paraId="6B2C253D">
            <w:pPr>
              <w:ind w:left="0"/>
              <w:jc w:val="center"/>
              <w:rPr>
                <w:rFonts w:hint="eastAsia" w:ascii="宋体" w:hAnsi="宋体" w:cs="宋体"/>
                <w:color w:val="000000"/>
                <w:kern w:val="0"/>
                <w:sz w:val="22"/>
                <w:szCs w:val="22"/>
              </w:rPr>
            </w:pPr>
            <w:r>
              <w:rPr>
                <w:rFonts w:hint="eastAsia" w:ascii="宋体" w:hAnsi="宋体" w:cs="宋体"/>
                <w:color w:val="000000"/>
                <w:kern w:val="0"/>
                <w:sz w:val="22"/>
                <w:szCs w:val="22"/>
              </w:rPr>
              <w:t>载荷在不同位置误差</w:t>
            </w:r>
          </w:p>
        </w:tc>
        <w:tc>
          <w:tcPr>
            <w:tcW w:w="981" w:type="dxa"/>
            <w:tcBorders>
              <w:top w:val="nil"/>
              <w:left w:val="nil"/>
              <w:bottom w:val="single" w:color="auto" w:sz="4" w:space="0"/>
              <w:right w:val="single" w:color="auto" w:sz="4" w:space="0"/>
            </w:tcBorders>
            <w:noWrap/>
            <w:vAlign w:val="center"/>
          </w:tcPr>
          <w:p w14:paraId="179D91C5">
            <w:pPr>
              <w:ind w:left="0"/>
              <w:jc w:val="center"/>
              <w:rPr>
                <w:color w:val="000000"/>
                <w:kern w:val="0"/>
                <w:sz w:val="22"/>
                <w:szCs w:val="22"/>
              </w:rPr>
            </w:pPr>
          </w:p>
        </w:tc>
        <w:tc>
          <w:tcPr>
            <w:tcW w:w="436" w:type="dxa"/>
            <w:tcBorders>
              <w:top w:val="nil"/>
              <w:left w:val="nil"/>
              <w:bottom w:val="single" w:color="auto" w:sz="4" w:space="0"/>
              <w:right w:val="single" w:color="auto" w:sz="4" w:space="0"/>
            </w:tcBorders>
            <w:noWrap/>
            <w:vAlign w:val="center"/>
          </w:tcPr>
          <w:p w14:paraId="12EDE8BE">
            <w:pPr>
              <w:ind w:left="0"/>
              <w:jc w:val="center"/>
              <w:rPr>
                <w:color w:val="000000"/>
                <w:kern w:val="0"/>
                <w:sz w:val="22"/>
                <w:szCs w:val="22"/>
              </w:rPr>
            </w:pPr>
          </w:p>
        </w:tc>
        <w:tc>
          <w:tcPr>
            <w:tcW w:w="1215" w:type="dxa"/>
            <w:tcBorders>
              <w:top w:val="nil"/>
              <w:left w:val="nil"/>
              <w:bottom w:val="single" w:color="auto" w:sz="4" w:space="0"/>
              <w:right w:val="single" w:color="auto" w:sz="4" w:space="0"/>
            </w:tcBorders>
            <w:noWrap/>
            <w:vAlign w:val="center"/>
          </w:tcPr>
          <w:p w14:paraId="4C068103">
            <w:pPr>
              <w:ind w:left="0"/>
              <w:jc w:val="center"/>
              <w:rPr>
                <w:color w:val="000000"/>
                <w:kern w:val="0"/>
                <w:sz w:val="22"/>
                <w:szCs w:val="22"/>
              </w:rPr>
            </w:pPr>
          </w:p>
        </w:tc>
        <w:tc>
          <w:tcPr>
            <w:tcW w:w="1215" w:type="dxa"/>
            <w:tcBorders>
              <w:top w:val="nil"/>
              <w:left w:val="nil"/>
              <w:bottom w:val="single" w:color="auto" w:sz="4" w:space="0"/>
              <w:right w:val="single" w:color="auto" w:sz="4" w:space="0"/>
            </w:tcBorders>
            <w:noWrap/>
            <w:vAlign w:val="center"/>
          </w:tcPr>
          <w:p w14:paraId="30902E93">
            <w:pPr>
              <w:ind w:left="0"/>
              <w:jc w:val="center"/>
              <w:rPr>
                <w:color w:val="000000"/>
                <w:kern w:val="0"/>
                <w:sz w:val="22"/>
                <w:szCs w:val="22"/>
              </w:rPr>
            </w:pPr>
          </w:p>
        </w:tc>
        <w:tc>
          <w:tcPr>
            <w:tcW w:w="1215" w:type="dxa"/>
            <w:tcBorders>
              <w:top w:val="nil"/>
              <w:left w:val="nil"/>
              <w:bottom w:val="single" w:color="auto" w:sz="4" w:space="0"/>
              <w:right w:val="single" w:color="auto" w:sz="4" w:space="0"/>
            </w:tcBorders>
            <w:noWrap/>
            <w:vAlign w:val="center"/>
          </w:tcPr>
          <w:p w14:paraId="2657991E">
            <w:pPr>
              <w:ind w:left="0"/>
              <w:jc w:val="center"/>
              <w:rPr>
                <w:color w:val="000000"/>
                <w:kern w:val="0"/>
                <w:sz w:val="22"/>
                <w:szCs w:val="22"/>
              </w:rPr>
            </w:pPr>
          </w:p>
        </w:tc>
        <w:tc>
          <w:tcPr>
            <w:tcW w:w="1215" w:type="dxa"/>
            <w:tcBorders>
              <w:top w:val="single" w:color="auto" w:sz="4" w:space="0"/>
              <w:left w:val="nil"/>
              <w:bottom w:val="single" w:color="auto" w:sz="4" w:space="0"/>
              <w:right w:val="single" w:color="auto" w:sz="4" w:space="0"/>
            </w:tcBorders>
            <w:vAlign w:val="center"/>
          </w:tcPr>
          <w:p w14:paraId="0999D3F7">
            <w:pPr>
              <w:ind w:left="0"/>
              <w:jc w:val="center"/>
              <w:rPr>
                <w:color w:val="000000"/>
                <w:kern w:val="0"/>
                <w:sz w:val="22"/>
                <w:szCs w:val="22"/>
              </w:rPr>
            </w:pPr>
          </w:p>
        </w:tc>
        <w:tc>
          <w:tcPr>
            <w:tcW w:w="1215" w:type="dxa"/>
            <w:tcBorders>
              <w:top w:val="single" w:color="auto" w:sz="4" w:space="0"/>
              <w:left w:val="single" w:color="auto" w:sz="4" w:space="0"/>
              <w:bottom w:val="single" w:color="auto" w:sz="4" w:space="0"/>
              <w:right w:val="single" w:color="auto" w:sz="4" w:space="0"/>
            </w:tcBorders>
            <w:noWrap/>
            <w:vAlign w:val="center"/>
          </w:tcPr>
          <w:p w14:paraId="6D6569D1">
            <w:pPr>
              <w:ind w:left="0"/>
              <w:jc w:val="center"/>
              <w:rPr>
                <w:color w:val="000000"/>
                <w:kern w:val="0"/>
                <w:sz w:val="22"/>
                <w:szCs w:val="22"/>
              </w:rPr>
            </w:pPr>
          </w:p>
        </w:tc>
        <w:tc>
          <w:tcPr>
            <w:tcW w:w="1215" w:type="dxa"/>
            <w:tcBorders>
              <w:top w:val="nil"/>
              <w:left w:val="nil"/>
              <w:bottom w:val="single" w:color="auto" w:sz="4" w:space="0"/>
              <w:right w:val="single" w:color="auto" w:sz="4" w:space="0"/>
            </w:tcBorders>
            <w:noWrap/>
            <w:vAlign w:val="center"/>
          </w:tcPr>
          <w:p w14:paraId="669974E1">
            <w:pPr>
              <w:ind w:left="0"/>
              <w:jc w:val="center"/>
              <w:rPr>
                <w:color w:val="000000"/>
                <w:kern w:val="0"/>
                <w:sz w:val="22"/>
                <w:szCs w:val="22"/>
              </w:rPr>
            </w:pPr>
          </w:p>
        </w:tc>
        <w:tc>
          <w:tcPr>
            <w:tcW w:w="1215" w:type="dxa"/>
            <w:tcBorders>
              <w:top w:val="nil"/>
              <w:left w:val="nil"/>
              <w:bottom w:val="single" w:color="auto" w:sz="4" w:space="0"/>
              <w:right w:val="single" w:color="auto" w:sz="4" w:space="0"/>
            </w:tcBorders>
            <w:noWrap/>
            <w:vAlign w:val="center"/>
          </w:tcPr>
          <w:p w14:paraId="2825C29E">
            <w:pPr>
              <w:ind w:left="0"/>
              <w:jc w:val="center"/>
              <w:rPr>
                <w:color w:val="000000"/>
                <w:kern w:val="0"/>
                <w:sz w:val="22"/>
                <w:szCs w:val="22"/>
              </w:rPr>
            </w:pPr>
          </w:p>
        </w:tc>
        <w:tc>
          <w:tcPr>
            <w:tcW w:w="1215" w:type="dxa"/>
            <w:tcBorders>
              <w:top w:val="nil"/>
              <w:left w:val="nil"/>
              <w:bottom w:val="single" w:color="auto" w:sz="4" w:space="0"/>
              <w:right w:val="single" w:color="auto" w:sz="4" w:space="0"/>
            </w:tcBorders>
            <w:noWrap/>
            <w:vAlign w:val="center"/>
          </w:tcPr>
          <w:p w14:paraId="4BA7E9EF">
            <w:pPr>
              <w:ind w:left="0"/>
              <w:jc w:val="center"/>
              <w:rPr>
                <w:color w:val="000000"/>
                <w:kern w:val="0"/>
                <w:sz w:val="22"/>
                <w:szCs w:val="22"/>
              </w:rPr>
            </w:pPr>
          </w:p>
        </w:tc>
      </w:tr>
      <w:tr w14:paraId="28DB7A2C">
        <w:tblPrEx>
          <w:tblCellMar>
            <w:top w:w="0" w:type="dxa"/>
            <w:left w:w="108" w:type="dxa"/>
            <w:bottom w:w="0" w:type="dxa"/>
            <w:right w:w="108" w:type="dxa"/>
          </w:tblCellMar>
        </w:tblPrEx>
        <w:trPr>
          <w:trHeight w:val="440" w:hRule="atLeast"/>
        </w:trPr>
        <w:tc>
          <w:tcPr>
            <w:tcW w:w="2898" w:type="dxa"/>
            <w:tcBorders>
              <w:top w:val="nil"/>
              <w:left w:val="single" w:color="auto" w:sz="4" w:space="0"/>
              <w:bottom w:val="single" w:color="auto" w:sz="4" w:space="0"/>
              <w:right w:val="single" w:color="auto" w:sz="4" w:space="0"/>
            </w:tcBorders>
            <w:noWrap/>
            <w:vAlign w:val="center"/>
          </w:tcPr>
          <w:p w14:paraId="6B9FEAC5">
            <w:pPr>
              <w:ind w:left="0"/>
              <w:jc w:val="center"/>
              <w:rPr>
                <w:rFonts w:hint="eastAsia" w:ascii="宋体" w:hAnsi="宋体" w:cs="宋体"/>
                <w:color w:val="000000"/>
                <w:kern w:val="0"/>
                <w:sz w:val="22"/>
                <w:szCs w:val="22"/>
              </w:rPr>
            </w:pPr>
            <w:r>
              <w:rPr>
                <w:rFonts w:hint="eastAsia" w:ascii="宋体" w:hAnsi="宋体" w:cs="宋体"/>
                <w:color w:val="000000"/>
                <w:kern w:val="0"/>
                <w:sz w:val="22"/>
                <w:szCs w:val="22"/>
              </w:rPr>
              <w:t>蠕变和滞后</w:t>
            </w:r>
          </w:p>
        </w:tc>
        <w:tc>
          <w:tcPr>
            <w:tcW w:w="981" w:type="dxa"/>
            <w:tcBorders>
              <w:top w:val="nil"/>
              <w:left w:val="nil"/>
              <w:bottom w:val="single" w:color="auto" w:sz="4" w:space="0"/>
              <w:right w:val="single" w:color="auto" w:sz="4" w:space="0"/>
            </w:tcBorders>
            <w:noWrap/>
            <w:vAlign w:val="center"/>
          </w:tcPr>
          <w:p w14:paraId="70FE7ABB">
            <w:pPr>
              <w:ind w:left="0"/>
              <w:jc w:val="center"/>
              <w:rPr>
                <w:color w:val="000000"/>
                <w:kern w:val="0"/>
                <w:sz w:val="22"/>
                <w:szCs w:val="22"/>
              </w:rPr>
            </w:pPr>
          </w:p>
        </w:tc>
        <w:tc>
          <w:tcPr>
            <w:tcW w:w="436" w:type="dxa"/>
            <w:tcBorders>
              <w:top w:val="nil"/>
              <w:left w:val="nil"/>
              <w:bottom w:val="single" w:color="auto" w:sz="4" w:space="0"/>
              <w:right w:val="single" w:color="auto" w:sz="4" w:space="0"/>
            </w:tcBorders>
            <w:noWrap/>
            <w:vAlign w:val="center"/>
          </w:tcPr>
          <w:p w14:paraId="6DB738D0">
            <w:pPr>
              <w:ind w:left="0"/>
              <w:jc w:val="center"/>
              <w:rPr>
                <w:color w:val="000000"/>
                <w:kern w:val="0"/>
                <w:sz w:val="22"/>
                <w:szCs w:val="22"/>
              </w:rPr>
            </w:pPr>
          </w:p>
        </w:tc>
        <w:tc>
          <w:tcPr>
            <w:tcW w:w="1215" w:type="dxa"/>
            <w:tcBorders>
              <w:top w:val="nil"/>
              <w:left w:val="nil"/>
              <w:bottom w:val="single" w:color="auto" w:sz="4" w:space="0"/>
              <w:right w:val="single" w:color="auto" w:sz="4" w:space="0"/>
            </w:tcBorders>
            <w:noWrap/>
            <w:vAlign w:val="center"/>
          </w:tcPr>
          <w:p w14:paraId="290B7E86">
            <w:pPr>
              <w:ind w:left="0"/>
              <w:jc w:val="center"/>
              <w:rPr>
                <w:color w:val="000000"/>
                <w:kern w:val="0"/>
                <w:sz w:val="22"/>
                <w:szCs w:val="22"/>
              </w:rPr>
            </w:pPr>
          </w:p>
        </w:tc>
        <w:tc>
          <w:tcPr>
            <w:tcW w:w="1215" w:type="dxa"/>
            <w:tcBorders>
              <w:top w:val="nil"/>
              <w:left w:val="nil"/>
              <w:bottom w:val="single" w:color="auto" w:sz="4" w:space="0"/>
              <w:right w:val="single" w:color="auto" w:sz="4" w:space="0"/>
            </w:tcBorders>
            <w:noWrap/>
            <w:vAlign w:val="center"/>
          </w:tcPr>
          <w:p w14:paraId="39019101">
            <w:pPr>
              <w:ind w:left="0"/>
              <w:jc w:val="center"/>
              <w:rPr>
                <w:color w:val="000000"/>
                <w:kern w:val="0"/>
                <w:sz w:val="22"/>
                <w:szCs w:val="22"/>
              </w:rPr>
            </w:pPr>
          </w:p>
        </w:tc>
        <w:tc>
          <w:tcPr>
            <w:tcW w:w="1215" w:type="dxa"/>
            <w:tcBorders>
              <w:top w:val="nil"/>
              <w:left w:val="nil"/>
              <w:bottom w:val="single" w:color="auto" w:sz="4" w:space="0"/>
              <w:right w:val="single" w:color="auto" w:sz="4" w:space="0"/>
            </w:tcBorders>
            <w:noWrap/>
            <w:vAlign w:val="center"/>
          </w:tcPr>
          <w:p w14:paraId="0C24A14B">
            <w:pPr>
              <w:ind w:left="0"/>
              <w:jc w:val="center"/>
              <w:rPr>
                <w:color w:val="000000"/>
                <w:kern w:val="0"/>
                <w:sz w:val="22"/>
                <w:szCs w:val="22"/>
              </w:rPr>
            </w:pPr>
          </w:p>
        </w:tc>
        <w:tc>
          <w:tcPr>
            <w:tcW w:w="1215" w:type="dxa"/>
            <w:tcBorders>
              <w:top w:val="single" w:color="auto" w:sz="4" w:space="0"/>
              <w:left w:val="nil"/>
              <w:bottom w:val="single" w:color="auto" w:sz="4" w:space="0"/>
              <w:right w:val="single" w:color="auto" w:sz="4" w:space="0"/>
            </w:tcBorders>
            <w:vAlign w:val="center"/>
          </w:tcPr>
          <w:p w14:paraId="744C6A1F">
            <w:pPr>
              <w:ind w:left="0"/>
              <w:jc w:val="center"/>
              <w:rPr>
                <w:color w:val="000000"/>
                <w:kern w:val="0"/>
                <w:sz w:val="22"/>
                <w:szCs w:val="22"/>
              </w:rPr>
            </w:pPr>
          </w:p>
        </w:tc>
        <w:tc>
          <w:tcPr>
            <w:tcW w:w="1215" w:type="dxa"/>
            <w:tcBorders>
              <w:top w:val="single" w:color="auto" w:sz="4" w:space="0"/>
              <w:left w:val="single" w:color="auto" w:sz="4" w:space="0"/>
              <w:bottom w:val="single" w:color="auto" w:sz="4" w:space="0"/>
              <w:right w:val="single" w:color="auto" w:sz="4" w:space="0"/>
            </w:tcBorders>
            <w:noWrap/>
            <w:vAlign w:val="center"/>
          </w:tcPr>
          <w:p w14:paraId="32902A16">
            <w:pPr>
              <w:ind w:left="0"/>
              <w:jc w:val="center"/>
              <w:rPr>
                <w:color w:val="000000"/>
                <w:kern w:val="0"/>
                <w:sz w:val="22"/>
                <w:szCs w:val="22"/>
              </w:rPr>
            </w:pPr>
          </w:p>
        </w:tc>
        <w:tc>
          <w:tcPr>
            <w:tcW w:w="1215" w:type="dxa"/>
            <w:tcBorders>
              <w:top w:val="nil"/>
              <w:left w:val="nil"/>
              <w:bottom w:val="single" w:color="auto" w:sz="4" w:space="0"/>
              <w:right w:val="single" w:color="auto" w:sz="4" w:space="0"/>
            </w:tcBorders>
            <w:noWrap/>
            <w:vAlign w:val="center"/>
          </w:tcPr>
          <w:p w14:paraId="5FAB6D86">
            <w:pPr>
              <w:ind w:left="0"/>
              <w:jc w:val="center"/>
              <w:rPr>
                <w:color w:val="000000"/>
                <w:kern w:val="0"/>
                <w:sz w:val="22"/>
                <w:szCs w:val="22"/>
              </w:rPr>
            </w:pPr>
          </w:p>
        </w:tc>
        <w:tc>
          <w:tcPr>
            <w:tcW w:w="1215" w:type="dxa"/>
            <w:tcBorders>
              <w:top w:val="nil"/>
              <w:left w:val="nil"/>
              <w:bottom w:val="single" w:color="auto" w:sz="4" w:space="0"/>
              <w:right w:val="single" w:color="auto" w:sz="4" w:space="0"/>
            </w:tcBorders>
            <w:noWrap/>
            <w:vAlign w:val="center"/>
          </w:tcPr>
          <w:p w14:paraId="4E959E39">
            <w:pPr>
              <w:ind w:left="0"/>
              <w:jc w:val="center"/>
              <w:rPr>
                <w:color w:val="000000"/>
                <w:kern w:val="0"/>
                <w:sz w:val="22"/>
                <w:szCs w:val="22"/>
              </w:rPr>
            </w:pPr>
          </w:p>
        </w:tc>
        <w:tc>
          <w:tcPr>
            <w:tcW w:w="1215" w:type="dxa"/>
            <w:tcBorders>
              <w:top w:val="nil"/>
              <w:left w:val="nil"/>
              <w:bottom w:val="single" w:color="auto" w:sz="4" w:space="0"/>
              <w:right w:val="single" w:color="auto" w:sz="4" w:space="0"/>
            </w:tcBorders>
            <w:noWrap/>
            <w:vAlign w:val="center"/>
          </w:tcPr>
          <w:p w14:paraId="5CE3C3CD">
            <w:pPr>
              <w:ind w:left="0"/>
              <w:jc w:val="center"/>
              <w:rPr>
                <w:color w:val="000000"/>
                <w:kern w:val="0"/>
                <w:sz w:val="22"/>
                <w:szCs w:val="22"/>
              </w:rPr>
            </w:pPr>
          </w:p>
        </w:tc>
      </w:tr>
      <w:tr w14:paraId="7FD86FDC">
        <w:tblPrEx>
          <w:tblCellMar>
            <w:top w:w="0" w:type="dxa"/>
            <w:left w:w="108" w:type="dxa"/>
            <w:bottom w:w="0" w:type="dxa"/>
            <w:right w:w="108" w:type="dxa"/>
          </w:tblCellMar>
        </w:tblPrEx>
        <w:trPr>
          <w:trHeight w:val="440" w:hRule="atLeast"/>
        </w:trPr>
        <w:tc>
          <w:tcPr>
            <w:tcW w:w="2898" w:type="dxa"/>
            <w:tcBorders>
              <w:top w:val="nil"/>
              <w:left w:val="single" w:color="auto" w:sz="4" w:space="0"/>
              <w:bottom w:val="single" w:color="auto" w:sz="4" w:space="0"/>
              <w:right w:val="single" w:color="auto" w:sz="4" w:space="0"/>
            </w:tcBorders>
            <w:noWrap/>
            <w:vAlign w:val="center"/>
          </w:tcPr>
          <w:p w14:paraId="06EAB6A4">
            <w:pPr>
              <w:ind w:left="0"/>
              <w:jc w:val="center"/>
              <w:rPr>
                <w:rFonts w:hint="eastAsia" w:ascii="宋体" w:hAnsi="宋体" w:cs="宋体"/>
                <w:color w:val="000000"/>
                <w:kern w:val="0"/>
                <w:sz w:val="22"/>
                <w:szCs w:val="22"/>
              </w:rPr>
            </w:pPr>
            <w:r>
              <w:rPr>
                <w:rFonts w:hint="eastAsia" w:ascii="宋体" w:hAnsi="宋体" w:cs="宋体"/>
                <w:color w:val="000000"/>
                <w:kern w:val="0"/>
                <w:sz w:val="22"/>
                <w:szCs w:val="22"/>
              </w:rPr>
              <w:t>示值不确定度</w:t>
            </w:r>
          </w:p>
        </w:tc>
        <w:tc>
          <w:tcPr>
            <w:tcW w:w="981" w:type="dxa"/>
            <w:tcBorders>
              <w:top w:val="nil"/>
              <w:left w:val="nil"/>
              <w:bottom w:val="single" w:color="auto" w:sz="4" w:space="0"/>
              <w:right w:val="single" w:color="auto" w:sz="4" w:space="0"/>
            </w:tcBorders>
            <w:noWrap/>
            <w:vAlign w:val="center"/>
          </w:tcPr>
          <w:p w14:paraId="756D5E15">
            <w:pPr>
              <w:ind w:left="0"/>
              <w:jc w:val="center"/>
              <w:rPr>
                <w:color w:val="000000"/>
                <w:kern w:val="0"/>
                <w:sz w:val="22"/>
                <w:szCs w:val="22"/>
              </w:rPr>
            </w:pPr>
            <w:r>
              <w:rPr>
                <w:color w:val="000000"/>
                <w:kern w:val="0"/>
                <w:sz w:val="22"/>
                <w:szCs w:val="22"/>
              </w:rPr>
              <w:drawing>
                <wp:anchor distT="0" distB="0" distL="114300" distR="114300" simplePos="0" relativeHeight="251681792" behindDoc="0" locked="0" layoutInCell="1" allowOverlap="1">
                  <wp:simplePos x="0" y="0"/>
                  <wp:positionH relativeFrom="column">
                    <wp:posOffset>34290</wp:posOffset>
                  </wp:positionH>
                  <wp:positionV relativeFrom="paragraph">
                    <wp:posOffset>48895</wp:posOffset>
                  </wp:positionV>
                  <wp:extent cx="400050" cy="209550"/>
                  <wp:effectExtent l="0" t="0" r="0" b="0"/>
                  <wp:wrapNone/>
                  <wp:docPr id="19"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0"/>
                          <pic:cNvPicPr>
                            <a:picLocks noChangeAspect="1" noChangeArrowheads="1"/>
                          </pic:cNvPicPr>
                        </pic:nvPicPr>
                        <pic:blipFill>
                          <a:blip r:embed="rId89">
                            <a:extLst>
                              <a:ext uri="{28A0092B-C50C-407E-A947-70E740481C1C}">
                                <a14:useLocalDpi xmlns:a14="http://schemas.microsoft.com/office/drawing/2010/main" val="0"/>
                              </a:ext>
                            </a:extLst>
                          </a:blip>
                          <a:srcRect/>
                          <a:stretch>
                            <a:fillRect/>
                          </a:stretch>
                        </pic:blipFill>
                        <pic:spPr>
                          <a:xfrm>
                            <a:off x="0" y="0"/>
                            <a:ext cx="400050" cy="209550"/>
                          </a:xfrm>
                          <a:prstGeom prst="rect">
                            <a:avLst/>
                          </a:prstGeom>
                          <a:noFill/>
                          <a:ln>
                            <a:noFill/>
                          </a:ln>
                        </pic:spPr>
                      </pic:pic>
                    </a:graphicData>
                  </a:graphic>
                </wp:anchor>
              </w:drawing>
            </w:r>
          </w:p>
        </w:tc>
        <w:tc>
          <w:tcPr>
            <w:tcW w:w="436" w:type="dxa"/>
            <w:tcBorders>
              <w:top w:val="nil"/>
              <w:left w:val="nil"/>
              <w:bottom w:val="single" w:color="auto" w:sz="4" w:space="0"/>
              <w:right w:val="single" w:color="auto" w:sz="4" w:space="0"/>
            </w:tcBorders>
            <w:noWrap/>
            <w:vAlign w:val="center"/>
          </w:tcPr>
          <w:p w14:paraId="7FBF47C8">
            <w:pPr>
              <w:ind w:left="0"/>
              <w:jc w:val="center"/>
              <w:rPr>
                <w:color w:val="000000"/>
                <w:kern w:val="0"/>
                <w:sz w:val="22"/>
                <w:szCs w:val="22"/>
              </w:rPr>
            </w:pPr>
          </w:p>
        </w:tc>
        <w:tc>
          <w:tcPr>
            <w:tcW w:w="1215" w:type="dxa"/>
            <w:tcBorders>
              <w:top w:val="nil"/>
              <w:left w:val="nil"/>
              <w:bottom w:val="single" w:color="auto" w:sz="4" w:space="0"/>
              <w:right w:val="single" w:color="auto" w:sz="4" w:space="0"/>
            </w:tcBorders>
            <w:noWrap/>
            <w:vAlign w:val="center"/>
          </w:tcPr>
          <w:p w14:paraId="6831C31B">
            <w:pPr>
              <w:ind w:left="0"/>
              <w:jc w:val="center"/>
              <w:rPr>
                <w:color w:val="000000"/>
                <w:kern w:val="0"/>
                <w:sz w:val="22"/>
                <w:szCs w:val="22"/>
              </w:rPr>
            </w:pPr>
          </w:p>
        </w:tc>
        <w:tc>
          <w:tcPr>
            <w:tcW w:w="1215" w:type="dxa"/>
            <w:tcBorders>
              <w:top w:val="nil"/>
              <w:left w:val="nil"/>
              <w:bottom w:val="single" w:color="auto" w:sz="4" w:space="0"/>
              <w:right w:val="single" w:color="auto" w:sz="4" w:space="0"/>
            </w:tcBorders>
            <w:noWrap/>
            <w:vAlign w:val="center"/>
          </w:tcPr>
          <w:p w14:paraId="5816E1F6">
            <w:pPr>
              <w:ind w:left="0"/>
              <w:jc w:val="center"/>
              <w:rPr>
                <w:color w:val="000000"/>
                <w:kern w:val="0"/>
                <w:sz w:val="22"/>
                <w:szCs w:val="22"/>
              </w:rPr>
            </w:pPr>
          </w:p>
        </w:tc>
        <w:tc>
          <w:tcPr>
            <w:tcW w:w="1215" w:type="dxa"/>
            <w:tcBorders>
              <w:top w:val="nil"/>
              <w:left w:val="nil"/>
              <w:bottom w:val="single" w:color="auto" w:sz="4" w:space="0"/>
              <w:right w:val="single" w:color="auto" w:sz="4" w:space="0"/>
            </w:tcBorders>
            <w:noWrap/>
            <w:vAlign w:val="center"/>
          </w:tcPr>
          <w:p w14:paraId="00E77D94">
            <w:pPr>
              <w:ind w:left="0"/>
              <w:jc w:val="center"/>
              <w:rPr>
                <w:color w:val="000000"/>
                <w:kern w:val="0"/>
                <w:sz w:val="22"/>
                <w:szCs w:val="22"/>
              </w:rPr>
            </w:pPr>
          </w:p>
        </w:tc>
        <w:tc>
          <w:tcPr>
            <w:tcW w:w="1215" w:type="dxa"/>
            <w:tcBorders>
              <w:top w:val="single" w:color="auto" w:sz="4" w:space="0"/>
              <w:left w:val="nil"/>
              <w:bottom w:val="single" w:color="auto" w:sz="4" w:space="0"/>
              <w:right w:val="single" w:color="auto" w:sz="4" w:space="0"/>
            </w:tcBorders>
            <w:vAlign w:val="center"/>
          </w:tcPr>
          <w:p w14:paraId="4BC936C2">
            <w:pPr>
              <w:ind w:left="0"/>
              <w:jc w:val="center"/>
              <w:rPr>
                <w:color w:val="000000"/>
                <w:kern w:val="0"/>
                <w:sz w:val="22"/>
                <w:szCs w:val="22"/>
              </w:rPr>
            </w:pPr>
          </w:p>
        </w:tc>
        <w:tc>
          <w:tcPr>
            <w:tcW w:w="1215" w:type="dxa"/>
            <w:tcBorders>
              <w:top w:val="single" w:color="auto" w:sz="4" w:space="0"/>
              <w:left w:val="single" w:color="auto" w:sz="4" w:space="0"/>
              <w:bottom w:val="single" w:color="auto" w:sz="4" w:space="0"/>
              <w:right w:val="single" w:color="auto" w:sz="4" w:space="0"/>
            </w:tcBorders>
            <w:noWrap/>
            <w:vAlign w:val="center"/>
          </w:tcPr>
          <w:p w14:paraId="01469FD3">
            <w:pPr>
              <w:ind w:left="0"/>
              <w:jc w:val="center"/>
              <w:rPr>
                <w:color w:val="000000"/>
                <w:kern w:val="0"/>
                <w:sz w:val="22"/>
                <w:szCs w:val="22"/>
              </w:rPr>
            </w:pPr>
          </w:p>
        </w:tc>
        <w:tc>
          <w:tcPr>
            <w:tcW w:w="1215" w:type="dxa"/>
            <w:tcBorders>
              <w:top w:val="nil"/>
              <w:left w:val="nil"/>
              <w:bottom w:val="single" w:color="auto" w:sz="4" w:space="0"/>
              <w:right w:val="single" w:color="auto" w:sz="4" w:space="0"/>
            </w:tcBorders>
            <w:noWrap/>
            <w:vAlign w:val="center"/>
          </w:tcPr>
          <w:p w14:paraId="0D6E1D73">
            <w:pPr>
              <w:ind w:left="0"/>
              <w:jc w:val="center"/>
              <w:rPr>
                <w:color w:val="000000"/>
                <w:kern w:val="0"/>
                <w:sz w:val="22"/>
                <w:szCs w:val="22"/>
              </w:rPr>
            </w:pPr>
          </w:p>
        </w:tc>
        <w:tc>
          <w:tcPr>
            <w:tcW w:w="1215" w:type="dxa"/>
            <w:tcBorders>
              <w:top w:val="nil"/>
              <w:left w:val="nil"/>
              <w:bottom w:val="single" w:color="auto" w:sz="4" w:space="0"/>
              <w:right w:val="single" w:color="auto" w:sz="4" w:space="0"/>
            </w:tcBorders>
            <w:noWrap/>
            <w:vAlign w:val="center"/>
          </w:tcPr>
          <w:p w14:paraId="546C764E">
            <w:pPr>
              <w:ind w:left="0"/>
              <w:jc w:val="center"/>
              <w:rPr>
                <w:color w:val="000000"/>
                <w:kern w:val="0"/>
                <w:sz w:val="22"/>
                <w:szCs w:val="22"/>
              </w:rPr>
            </w:pPr>
          </w:p>
        </w:tc>
        <w:tc>
          <w:tcPr>
            <w:tcW w:w="1215" w:type="dxa"/>
            <w:tcBorders>
              <w:top w:val="nil"/>
              <w:left w:val="nil"/>
              <w:bottom w:val="single" w:color="auto" w:sz="4" w:space="0"/>
              <w:right w:val="single" w:color="auto" w:sz="4" w:space="0"/>
            </w:tcBorders>
            <w:noWrap/>
            <w:vAlign w:val="center"/>
          </w:tcPr>
          <w:p w14:paraId="60037626">
            <w:pPr>
              <w:ind w:left="0"/>
              <w:jc w:val="center"/>
              <w:rPr>
                <w:color w:val="000000"/>
                <w:kern w:val="0"/>
                <w:sz w:val="22"/>
                <w:szCs w:val="22"/>
              </w:rPr>
            </w:pPr>
          </w:p>
        </w:tc>
      </w:tr>
      <w:tr w14:paraId="25F8FBFA">
        <w:tblPrEx>
          <w:tblCellMar>
            <w:top w:w="0" w:type="dxa"/>
            <w:left w:w="108" w:type="dxa"/>
            <w:bottom w:w="0" w:type="dxa"/>
            <w:right w:w="108" w:type="dxa"/>
          </w:tblCellMar>
        </w:tblPrEx>
        <w:trPr>
          <w:trHeight w:val="440" w:hRule="atLeast"/>
        </w:trPr>
        <w:tc>
          <w:tcPr>
            <w:tcW w:w="2898" w:type="dxa"/>
            <w:tcBorders>
              <w:top w:val="nil"/>
              <w:left w:val="single" w:color="auto" w:sz="4" w:space="0"/>
              <w:bottom w:val="single" w:color="auto" w:sz="4" w:space="0"/>
              <w:right w:val="single" w:color="auto" w:sz="4" w:space="0"/>
            </w:tcBorders>
            <w:noWrap/>
            <w:vAlign w:val="center"/>
          </w:tcPr>
          <w:p w14:paraId="2D4845E1">
            <w:pPr>
              <w:ind w:left="0"/>
              <w:jc w:val="center"/>
              <w:rPr>
                <w:rFonts w:hint="eastAsia" w:ascii="宋体" w:hAnsi="宋体" w:cs="宋体"/>
                <w:color w:val="000000"/>
                <w:kern w:val="0"/>
                <w:sz w:val="22"/>
                <w:szCs w:val="22"/>
              </w:rPr>
            </w:pPr>
            <w:r>
              <w:rPr>
                <w:rFonts w:hint="eastAsia" w:ascii="宋体" w:hAnsi="宋体" w:cs="宋体"/>
                <w:color w:val="000000"/>
                <w:kern w:val="0"/>
                <w:sz w:val="22"/>
                <w:szCs w:val="22"/>
              </w:rPr>
              <w:t>试验载荷的不确定度</w:t>
            </w:r>
          </w:p>
        </w:tc>
        <w:tc>
          <w:tcPr>
            <w:tcW w:w="981" w:type="dxa"/>
            <w:tcBorders>
              <w:top w:val="single" w:color="auto" w:sz="4" w:space="0"/>
              <w:left w:val="nil"/>
              <w:bottom w:val="single" w:color="auto" w:sz="4" w:space="0"/>
              <w:right w:val="single" w:color="auto" w:sz="4" w:space="0"/>
            </w:tcBorders>
            <w:noWrap/>
            <w:vAlign w:val="center"/>
          </w:tcPr>
          <w:p w14:paraId="48ADA56D">
            <w:pPr>
              <w:ind w:left="0"/>
              <w:jc w:val="center"/>
              <w:rPr>
                <w:color w:val="000000"/>
                <w:kern w:val="0"/>
                <w:sz w:val="22"/>
                <w:szCs w:val="22"/>
              </w:rPr>
            </w:pPr>
            <w:r>
              <w:rPr>
                <w:position w:val="-10"/>
              </w:rPr>
              <w:object>
                <v:shape id="_x0000_i1093" o:spt="75" type="#_x0000_t75" style="height:16pt;width:26pt;" o:ole="t" filled="f" o:preferrelative="t" stroked="f" coordsize="21600,21600">
                  <v:path/>
                  <v:fill on="f" focussize="0,0"/>
                  <v:stroke on="f" joinstyle="miter"/>
                  <v:imagedata r:id="rId136" o:title=""/>
                  <o:lock v:ext="edit" aspectratio="t"/>
                  <w10:wrap type="none"/>
                  <w10:anchorlock/>
                </v:shape>
                <o:OLEObject Type="Embed" ProgID="Equation.DSMT4" ShapeID="_x0000_i1093" DrawAspect="Content" ObjectID="_1468075793" r:id="rId143">
                  <o:LockedField>false</o:LockedField>
                </o:OLEObject>
              </w:object>
            </w:r>
          </w:p>
        </w:tc>
        <w:tc>
          <w:tcPr>
            <w:tcW w:w="436" w:type="dxa"/>
            <w:tcBorders>
              <w:top w:val="nil"/>
              <w:left w:val="nil"/>
              <w:bottom w:val="single" w:color="auto" w:sz="4" w:space="0"/>
              <w:right w:val="single" w:color="auto" w:sz="4" w:space="0"/>
            </w:tcBorders>
            <w:noWrap/>
            <w:vAlign w:val="center"/>
          </w:tcPr>
          <w:p w14:paraId="48B01486">
            <w:pPr>
              <w:ind w:left="0"/>
              <w:jc w:val="center"/>
              <w:rPr>
                <w:color w:val="000000"/>
                <w:kern w:val="0"/>
                <w:sz w:val="22"/>
                <w:szCs w:val="22"/>
              </w:rPr>
            </w:pPr>
          </w:p>
        </w:tc>
        <w:tc>
          <w:tcPr>
            <w:tcW w:w="1215" w:type="dxa"/>
            <w:tcBorders>
              <w:top w:val="single" w:color="auto" w:sz="4" w:space="0"/>
              <w:left w:val="nil"/>
              <w:bottom w:val="single" w:color="auto" w:sz="4" w:space="0"/>
              <w:right w:val="single" w:color="auto" w:sz="4" w:space="0"/>
            </w:tcBorders>
            <w:noWrap/>
            <w:vAlign w:val="center"/>
          </w:tcPr>
          <w:p w14:paraId="26102EED">
            <w:pPr>
              <w:ind w:left="0"/>
              <w:jc w:val="center"/>
              <w:rPr>
                <w:color w:val="000000"/>
                <w:kern w:val="0"/>
                <w:sz w:val="22"/>
                <w:szCs w:val="22"/>
              </w:rPr>
            </w:pPr>
          </w:p>
        </w:tc>
        <w:tc>
          <w:tcPr>
            <w:tcW w:w="1215" w:type="dxa"/>
            <w:tcBorders>
              <w:top w:val="single" w:color="auto" w:sz="4" w:space="0"/>
              <w:left w:val="nil"/>
              <w:bottom w:val="single" w:color="auto" w:sz="4" w:space="0"/>
              <w:right w:val="single" w:color="auto" w:sz="4" w:space="0"/>
            </w:tcBorders>
            <w:noWrap/>
            <w:vAlign w:val="center"/>
          </w:tcPr>
          <w:p w14:paraId="55E4F032">
            <w:pPr>
              <w:ind w:left="0"/>
              <w:jc w:val="center"/>
              <w:rPr>
                <w:kern w:val="0"/>
                <w:sz w:val="22"/>
                <w:szCs w:val="22"/>
              </w:rPr>
            </w:pPr>
          </w:p>
        </w:tc>
        <w:tc>
          <w:tcPr>
            <w:tcW w:w="1215" w:type="dxa"/>
            <w:tcBorders>
              <w:top w:val="single" w:color="auto" w:sz="4" w:space="0"/>
              <w:left w:val="nil"/>
              <w:bottom w:val="single" w:color="auto" w:sz="4" w:space="0"/>
              <w:right w:val="single" w:color="auto" w:sz="4" w:space="0"/>
            </w:tcBorders>
            <w:noWrap/>
            <w:vAlign w:val="center"/>
          </w:tcPr>
          <w:p w14:paraId="4ADF8D8C">
            <w:pPr>
              <w:ind w:left="0"/>
              <w:jc w:val="center"/>
              <w:rPr>
                <w:kern w:val="0"/>
                <w:sz w:val="22"/>
                <w:szCs w:val="22"/>
              </w:rPr>
            </w:pPr>
          </w:p>
        </w:tc>
        <w:tc>
          <w:tcPr>
            <w:tcW w:w="1215" w:type="dxa"/>
            <w:tcBorders>
              <w:top w:val="single" w:color="auto" w:sz="4" w:space="0"/>
              <w:left w:val="nil"/>
              <w:bottom w:val="single" w:color="auto" w:sz="4" w:space="0"/>
              <w:right w:val="single" w:color="auto" w:sz="4" w:space="0"/>
            </w:tcBorders>
            <w:vAlign w:val="center"/>
          </w:tcPr>
          <w:p w14:paraId="7D461676">
            <w:pPr>
              <w:ind w:left="0"/>
              <w:jc w:val="center"/>
              <w:rPr>
                <w:kern w:val="0"/>
                <w:sz w:val="22"/>
                <w:szCs w:val="22"/>
              </w:rPr>
            </w:pPr>
          </w:p>
        </w:tc>
        <w:tc>
          <w:tcPr>
            <w:tcW w:w="1215" w:type="dxa"/>
            <w:tcBorders>
              <w:top w:val="single" w:color="auto" w:sz="4" w:space="0"/>
              <w:left w:val="single" w:color="auto" w:sz="4" w:space="0"/>
              <w:bottom w:val="single" w:color="auto" w:sz="4" w:space="0"/>
              <w:right w:val="single" w:color="auto" w:sz="4" w:space="0"/>
            </w:tcBorders>
            <w:noWrap/>
            <w:vAlign w:val="center"/>
          </w:tcPr>
          <w:p w14:paraId="04D8AE92">
            <w:pPr>
              <w:ind w:left="0"/>
              <w:jc w:val="center"/>
              <w:rPr>
                <w:kern w:val="0"/>
                <w:sz w:val="22"/>
                <w:szCs w:val="22"/>
              </w:rPr>
            </w:pPr>
          </w:p>
        </w:tc>
        <w:tc>
          <w:tcPr>
            <w:tcW w:w="1215" w:type="dxa"/>
            <w:tcBorders>
              <w:top w:val="single" w:color="auto" w:sz="4" w:space="0"/>
              <w:left w:val="nil"/>
              <w:bottom w:val="single" w:color="auto" w:sz="4" w:space="0"/>
              <w:right w:val="single" w:color="auto" w:sz="4" w:space="0"/>
            </w:tcBorders>
            <w:noWrap/>
            <w:vAlign w:val="center"/>
          </w:tcPr>
          <w:p w14:paraId="07ADDAB4">
            <w:pPr>
              <w:ind w:left="0"/>
              <w:jc w:val="center"/>
              <w:rPr>
                <w:kern w:val="0"/>
                <w:sz w:val="22"/>
                <w:szCs w:val="22"/>
              </w:rPr>
            </w:pPr>
          </w:p>
        </w:tc>
        <w:tc>
          <w:tcPr>
            <w:tcW w:w="1215" w:type="dxa"/>
            <w:tcBorders>
              <w:top w:val="single" w:color="auto" w:sz="4" w:space="0"/>
              <w:left w:val="nil"/>
              <w:bottom w:val="single" w:color="auto" w:sz="4" w:space="0"/>
              <w:right w:val="single" w:color="auto" w:sz="4" w:space="0"/>
            </w:tcBorders>
            <w:noWrap/>
            <w:vAlign w:val="center"/>
          </w:tcPr>
          <w:p w14:paraId="33ABDFB1">
            <w:pPr>
              <w:ind w:left="0"/>
              <w:jc w:val="center"/>
              <w:rPr>
                <w:kern w:val="0"/>
                <w:sz w:val="22"/>
                <w:szCs w:val="22"/>
              </w:rPr>
            </w:pPr>
          </w:p>
        </w:tc>
        <w:tc>
          <w:tcPr>
            <w:tcW w:w="1215" w:type="dxa"/>
            <w:tcBorders>
              <w:top w:val="single" w:color="auto" w:sz="4" w:space="0"/>
              <w:left w:val="nil"/>
              <w:bottom w:val="single" w:color="auto" w:sz="4" w:space="0"/>
              <w:right w:val="single" w:color="auto" w:sz="4" w:space="0"/>
            </w:tcBorders>
            <w:noWrap/>
            <w:vAlign w:val="center"/>
          </w:tcPr>
          <w:p w14:paraId="63B15AE5">
            <w:pPr>
              <w:ind w:left="0"/>
              <w:jc w:val="center"/>
              <w:rPr>
                <w:kern w:val="0"/>
                <w:sz w:val="22"/>
                <w:szCs w:val="22"/>
              </w:rPr>
            </w:pPr>
          </w:p>
        </w:tc>
      </w:tr>
      <w:tr w14:paraId="51647E0D">
        <w:tblPrEx>
          <w:tblCellMar>
            <w:top w:w="0" w:type="dxa"/>
            <w:left w:w="108" w:type="dxa"/>
            <w:bottom w:w="0" w:type="dxa"/>
            <w:right w:w="108" w:type="dxa"/>
          </w:tblCellMar>
        </w:tblPrEx>
        <w:trPr>
          <w:trHeight w:val="440" w:hRule="atLeast"/>
        </w:trPr>
        <w:tc>
          <w:tcPr>
            <w:tcW w:w="2898" w:type="dxa"/>
            <w:tcBorders>
              <w:top w:val="nil"/>
              <w:left w:val="single" w:color="auto" w:sz="4" w:space="0"/>
              <w:bottom w:val="single" w:color="auto" w:sz="4" w:space="0"/>
              <w:right w:val="single" w:color="auto" w:sz="4" w:space="0"/>
            </w:tcBorders>
            <w:noWrap/>
            <w:vAlign w:val="center"/>
          </w:tcPr>
          <w:p w14:paraId="5BE7782A">
            <w:pPr>
              <w:ind w:left="0"/>
              <w:jc w:val="center"/>
              <w:rPr>
                <w:rFonts w:hint="eastAsia" w:ascii="宋体" w:hAnsi="宋体" w:cs="宋体"/>
                <w:color w:val="000000"/>
                <w:kern w:val="0"/>
                <w:sz w:val="22"/>
                <w:szCs w:val="22"/>
              </w:rPr>
            </w:pPr>
            <w:r>
              <w:rPr>
                <w:rFonts w:hint="eastAsia" w:ascii="宋体" w:hAnsi="宋体" w:cs="宋体"/>
                <w:color w:val="000000"/>
                <w:kern w:val="0"/>
                <w:sz w:val="22"/>
                <w:szCs w:val="22"/>
              </w:rPr>
              <w:t>标准误差不确定度</w:t>
            </w:r>
          </w:p>
        </w:tc>
        <w:tc>
          <w:tcPr>
            <w:tcW w:w="981" w:type="dxa"/>
            <w:tcBorders>
              <w:top w:val="nil"/>
              <w:left w:val="nil"/>
              <w:bottom w:val="nil"/>
              <w:right w:val="nil"/>
            </w:tcBorders>
            <w:noWrap/>
            <w:vAlign w:val="center"/>
          </w:tcPr>
          <w:p w14:paraId="59F9D4FF">
            <w:pPr>
              <w:tabs>
                <w:tab w:val="left" w:pos="720"/>
              </w:tabs>
              <w:ind w:left="0"/>
              <w:jc w:val="center"/>
              <w:rPr>
                <w:rFonts w:hint="eastAsia" w:ascii="宋体" w:hAnsi="宋体" w:cs="宋体"/>
                <w:color w:val="000000"/>
                <w:kern w:val="0"/>
                <w:sz w:val="22"/>
                <w:szCs w:val="22"/>
              </w:rPr>
            </w:pPr>
            <w:r>
              <w:rPr>
                <w:rFonts w:ascii="宋体" w:hAnsi="宋体" w:cs="宋体"/>
                <w:color w:val="000000"/>
                <w:kern w:val="0"/>
                <w:sz w:val="22"/>
                <w:szCs w:val="22"/>
              </w:rPr>
              <w:drawing>
                <wp:anchor distT="0" distB="0" distL="114300" distR="114300" simplePos="0" relativeHeight="251682816" behindDoc="0" locked="0" layoutInCell="1" allowOverlap="1">
                  <wp:simplePos x="0" y="0"/>
                  <wp:positionH relativeFrom="column">
                    <wp:posOffset>29845</wp:posOffset>
                  </wp:positionH>
                  <wp:positionV relativeFrom="paragraph">
                    <wp:posOffset>27305</wp:posOffset>
                  </wp:positionV>
                  <wp:extent cx="387350" cy="228600"/>
                  <wp:effectExtent l="0" t="0" r="12700" b="0"/>
                  <wp:wrapNone/>
                  <wp:docPr id="22"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7"/>
                          <pic:cNvPicPr>
                            <a:picLocks noChangeAspect="1" noChangeArrowheads="1"/>
                          </pic:cNvPicPr>
                        </pic:nvPicPr>
                        <pic:blipFill>
                          <a:blip r:embed="rId92">
                            <a:extLst>
                              <a:ext uri="{28A0092B-C50C-407E-A947-70E740481C1C}">
                                <a14:useLocalDpi xmlns:a14="http://schemas.microsoft.com/office/drawing/2010/main" val="0"/>
                              </a:ext>
                            </a:extLst>
                          </a:blip>
                          <a:srcRect/>
                          <a:stretch>
                            <a:fillRect/>
                          </a:stretch>
                        </pic:blipFill>
                        <pic:spPr>
                          <a:xfrm>
                            <a:off x="0" y="0"/>
                            <a:ext cx="387350" cy="228600"/>
                          </a:xfrm>
                          <a:prstGeom prst="rect">
                            <a:avLst/>
                          </a:prstGeom>
                          <a:noFill/>
                          <a:ln>
                            <a:noFill/>
                          </a:ln>
                        </pic:spPr>
                      </pic:pic>
                    </a:graphicData>
                  </a:graphic>
                </wp:anchor>
              </w:drawing>
            </w:r>
          </w:p>
        </w:tc>
        <w:tc>
          <w:tcPr>
            <w:tcW w:w="436" w:type="dxa"/>
            <w:tcBorders>
              <w:top w:val="nil"/>
              <w:left w:val="single" w:color="auto" w:sz="4" w:space="0"/>
              <w:bottom w:val="single" w:color="auto" w:sz="4" w:space="0"/>
              <w:right w:val="single" w:color="auto" w:sz="4" w:space="0"/>
            </w:tcBorders>
            <w:noWrap/>
            <w:vAlign w:val="center"/>
          </w:tcPr>
          <w:p w14:paraId="606D307F">
            <w:pPr>
              <w:ind w:left="0"/>
              <w:jc w:val="center"/>
              <w:rPr>
                <w:color w:val="000000"/>
                <w:kern w:val="0"/>
                <w:sz w:val="22"/>
                <w:szCs w:val="22"/>
              </w:rPr>
            </w:pPr>
          </w:p>
        </w:tc>
        <w:tc>
          <w:tcPr>
            <w:tcW w:w="1215" w:type="dxa"/>
            <w:tcBorders>
              <w:top w:val="nil"/>
              <w:left w:val="nil"/>
              <w:bottom w:val="single" w:color="auto" w:sz="4" w:space="0"/>
              <w:right w:val="single" w:color="auto" w:sz="4" w:space="0"/>
            </w:tcBorders>
            <w:noWrap/>
            <w:vAlign w:val="center"/>
          </w:tcPr>
          <w:p w14:paraId="57EA6DA0">
            <w:pPr>
              <w:ind w:left="0"/>
              <w:jc w:val="center"/>
              <w:rPr>
                <w:color w:val="000000"/>
                <w:kern w:val="0"/>
                <w:sz w:val="22"/>
                <w:szCs w:val="22"/>
              </w:rPr>
            </w:pPr>
          </w:p>
        </w:tc>
        <w:tc>
          <w:tcPr>
            <w:tcW w:w="1215" w:type="dxa"/>
            <w:tcBorders>
              <w:top w:val="nil"/>
              <w:left w:val="nil"/>
              <w:bottom w:val="single" w:color="auto" w:sz="4" w:space="0"/>
              <w:right w:val="single" w:color="auto" w:sz="4" w:space="0"/>
            </w:tcBorders>
            <w:noWrap/>
            <w:vAlign w:val="center"/>
          </w:tcPr>
          <w:p w14:paraId="577C65C5">
            <w:pPr>
              <w:ind w:left="0"/>
              <w:jc w:val="center"/>
              <w:rPr>
                <w:color w:val="000000"/>
                <w:kern w:val="0"/>
                <w:sz w:val="22"/>
                <w:szCs w:val="22"/>
              </w:rPr>
            </w:pPr>
          </w:p>
        </w:tc>
        <w:tc>
          <w:tcPr>
            <w:tcW w:w="1215" w:type="dxa"/>
            <w:tcBorders>
              <w:top w:val="nil"/>
              <w:left w:val="nil"/>
              <w:bottom w:val="single" w:color="auto" w:sz="4" w:space="0"/>
              <w:right w:val="single" w:color="auto" w:sz="4" w:space="0"/>
            </w:tcBorders>
            <w:noWrap/>
            <w:vAlign w:val="center"/>
          </w:tcPr>
          <w:p w14:paraId="5A591DD1">
            <w:pPr>
              <w:ind w:left="0"/>
              <w:jc w:val="center"/>
              <w:rPr>
                <w:color w:val="000000"/>
                <w:kern w:val="0"/>
                <w:sz w:val="22"/>
                <w:szCs w:val="22"/>
              </w:rPr>
            </w:pPr>
          </w:p>
        </w:tc>
        <w:tc>
          <w:tcPr>
            <w:tcW w:w="1215" w:type="dxa"/>
            <w:tcBorders>
              <w:top w:val="single" w:color="auto" w:sz="4" w:space="0"/>
              <w:left w:val="nil"/>
              <w:bottom w:val="single" w:color="auto" w:sz="4" w:space="0"/>
              <w:right w:val="single" w:color="auto" w:sz="4" w:space="0"/>
            </w:tcBorders>
            <w:vAlign w:val="center"/>
          </w:tcPr>
          <w:p w14:paraId="27D9C04E">
            <w:pPr>
              <w:ind w:left="0"/>
              <w:jc w:val="center"/>
              <w:rPr>
                <w:color w:val="000000"/>
                <w:kern w:val="0"/>
                <w:sz w:val="22"/>
                <w:szCs w:val="22"/>
              </w:rPr>
            </w:pPr>
          </w:p>
        </w:tc>
        <w:tc>
          <w:tcPr>
            <w:tcW w:w="1215" w:type="dxa"/>
            <w:tcBorders>
              <w:top w:val="single" w:color="auto" w:sz="4" w:space="0"/>
              <w:left w:val="single" w:color="auto" w:sz="4" w:space="0"/>
              <w:bottom w:val="single" w:color="auto" w:sz="4" w:space="0"/>
              <w:right w:val="single" w:color="auto" w:sz="4" w:space="0"/>
            </w:tcBorders>
            <w:noWrap/>
            <w:vAlign w:val="center"/>
          </w:tcPr>
          <w:p w14:paraId="67B340F5">
            <w:pPr>
              <w:ind w:left="0"/>
              <w:jc w:val="center"/>
              <w:rPr>
                <w:color w:val="000000"/>
                <w:kern w:val="0"/>
                <w:sz w:val="22"/>
                <w:szCs w:val="22"/>
              </w:rPr>
            </w:pPr>
          </w:p>
        </w:tc>
        <w:tc>
          <w:tcPr>
            <w:tcW w:w="1215" w:type="dxa"/>
            <w:tcBorders>
              <w:top w:val="nil"/>
              <w:left w:val="nil"/>
              <w:bottom w:val="single" w:color="auto" w:sz="4" w:space="0"/>
              <w:right w:val="single" w:color="auto" w:sz="4" w:space="0"/>
            </w:tcBorders>
            <w:noWrap/>
            <w:vAlign w:val="center"/>
          </w:tcPr>
          <w:p w14:paraId="62CFE1ED">
            <w:pPr>
              <w:ind w:left="0"/>
              <w:jc w:val="center"/>
              <w:rPr>
                <w:color w:val="000000"/>
                <w:kern w:val="0"/>
                <w:sz w:val="22"/>
                <w:szCs w:val="22"/>
              </w:rPr>
            </w:pPr>
          </w:p>
        </w:tc>
        <w:tc>
          <w:tcPr>
            <w:tcW w:w="1215" w:type="dxa"/>
            <w:tcBorders>
              <w:top w:val="nil"/>
              <w:left w:val="nil"/>
              <w:bottom w:val="single" w:color="auto" w:sz="4" w:space="0"/>
              <w:right w:val="single" w:color="auto" w:sz="4" w:space="0"/>
            </w:tcBorders>
            <w:noWrap/>
            <w:vAlign w:val="center"/>
          </w:tcPr>
          <w:p w14:paraId="5C1B22A7">
            <w:pPr>
              <w:ind w:left="0"/>
              <w:jc w:val="center"/>
              <w:rPr>
                <w:color w:val="000000"/>
                <w:kern w:val="0"/>
                <w:sz w:val="22"/>
                <w:szCs w:val="22"/>
              </w:rPr>
            </w:pPr>
          </w:p>
        </w:tc>
        <w:tc>
          <w:tcPr>
            <w:tcW w:w="1215" w:type="dxa"/>
            <w:tcBorders>
              <w:top w:val="nil"/>
              <w:left w:val="nil"/>
              <w:bottom w:val="single" w:color="auto" w:sz="4" w:space="0"/>
              <w:right w:val="single" w:color="auto" w:sz="4" w:space="0"/>
            </w:tcBorders>
            <w:noWrap/>
            <w:vAlign w:val="center"/>
          </w:tcPr>
          <w:p w14:paraId="180D4D8B">
            <w:pPr>
              <w:ind w:left="0"/>
              <w:jc w:val="center"/>
              <w:rPr>
                <w:color w:val="000000"/>
                <w:kern w:val="0"/>
                <w:sz w:val="22"/>
                <w:szCs w:val="22"/>
              </w:rPr>
            </w:pPr>
          </w:p>
        </w:tc>
      </w:tr>
      <w:tr w14:paraId="5A502908">
        <w:tblPrEx>
          <w:tblCellMar>
            <w:top w:w="0" w:type="dxa"/>
            <w:left w:w="108" w:type="dxa"/>
            <w:bottom w:w="0" w:type="dxa"/>
            <w:right w:w="108" w:type="dxa"/>
          </w:tblCellMar>
        </w:tblPrEx>
        <w:trPr>
          <w:trHeight w:val="440" w:hRule="atLeast"/>
        </w:trPr>
        <w:tc>
          <w:tcPr>
            <w:tcW w:w="2898" w:type="dxa"/>
            <w:tcBorders>
              <w:top w:val="nil"/>
              <w:left w:val="single" w:color="auto" w:sz="4" w:space="0"/>
              <w:bottom w:val="single" w:color="auto" w:sz="4" w:space="0"/>
              <w:right w:val="single" w:color="auto" w:sz="4" w:space="0"/>
            </w:tcBorders>
            <w:noWrap/>
            <w:vAlign w:val="center"/>
          </w:tcPr>
          <w:p w14:paraId="1744872D">
            <w:pPr>
              <w:ind w:left="0"/>
              <w:jc w:val="center"/>
              <w:rPr>
                <w:i/>
                <w:iCs/>
                <w:color w:val="000000"/>
                <w:kern w:val="0"/>
                <w:sz w:val="22"/>
                <w:szCs w:val="22"/>
              </w:rPr>
            </w:pPr>
            <w:r>
              <w:rPr>
                <w:i/>
                <w:iCs/>
                <w:color w:val="000000"/>
                <w:kern w:val="0"/>
                <w:sz w:val="22"/>
                <w:szCs w:val="22"/>
              </w:rPr>
              <w:t>k</w:t>
            </w:r>
          </w:p>
        </w:tc>
        <w:tc>
          <w:tcPr>
            <w:tcW w:w="981" w:type="dxa"/>
            <w:tcBorders>
              <w:top w:val="single" w:color="auto" w:sz="4" w:space="0"/>
              <w:left w:val="nil"/>
              <w:bottom w:val="single" w:color="auto" w:sz="4" w:space="0"/>
              <w:right w:val="single" w:color="auto" w:sz="4" w:space="0"/>
            </w:tcBorders>
            <w:noWrap/>
            <w:vAlign w:val="center"/>
          </w:tcPr>
          <w:p w14:paraId="3B0283A4">
            <w:pPr>
              <w:ind w:left="0"/>
              <w:jc w:val="center"/>
              <w:rPr>
                <w:color w:val="000000"/>
                <w:kern w:val="0"/>
                <w:sz w:val="22"/>
                <w:szCs w:val="22"/>
              </w:rPr>
            </w:pPr>
          </w:p>
        </w:tc>
        <w:tc>
          <w:tcPr>
            <w:tcW w:w="436" w:type="dxa"/>
            <w:tcBorders>
              <w:top w:val="nil"/>
              <w:left w:val="nil"/>
              <w:bottom w:val="single" w:color="auto" w:sz="4" w:space="0"/>
              <w:right w:val="single" w:color="auto" w:sz="4" w:space="0"/>
            </w:tcBorders>
            <w:noWrap/>
            <w:vAlign w:val="center"/>
          </w:tcPr>
          <w:p w14:paraId="6A81108E">
            <w:pPr>
              <w:ind w:left="0"/>
              <w:jc w:val="center"/>
              <w:rPr>
                <w:color w:val="000000"/>
                <w:kern w:val="0"/>
                <w:sz w:val="22"/>
                <w:szCs w:val="22"/>
              </w:rPr>
            </w:pPr>
          </w:p>
        </w:tc>
        <w:tc>
          <w:tcPr>
            <w:tcW w:w="1215" w:type="dxa"/>
            <w:tcBorders>
              <w:top w:val="nil"/>
              <w:left w:val="nil"/>
              <w:bottom w:val="single" w:color="auto" w:sz="4" w:space="0"/>
              <w:right w:val="single" w:color="auto" w:sz="4" w:space="0"/>
            </w:tcBorders>
            <w:noWrap/>
            <w:vAlign w:val="center"/>
          </w:tcPr>
          <w:p w14:paraId="7464F997">
            <w:pPr>
              <w:ind w:left="0"/>
              <w:jc w:val="center"/>
              <w:rPr>
                <w:color w:val="000000"/>
                <w:kern w:val="0"/>
                <w:sz w:val="22"/>
                <w:szCs w:val="22"/>
              </w:rPr>
            </w:pPr>
          </w:p>
        </w:tc>
        <w:tc>
          <w:tcPr>
            <w:tcW w:w="1215" w:type="dxa"/>
            <w:tcBorders>
              <w:top w:val="nil"/>
              <w:left w:val="nil"/>
              <w:bottom w:val="single" w:color="auto" w:sz="4" w:space="0"/>
              <w:right w:val="single" w:color="auto" w:sz="4" w:space="0"/>
            </w:tcBorders>
            <w:noWrap/>
            <w:vAlign w:val="center"/>
          </w:tcPr>
          <w:p w14:paraId="60C8062C">
            <w:pPr>
              <w:ind w:left="0"/>
              <w:jc w:val="center"/>
              <w:rPr>
                <w:kern w:val="0"/>
                <w:sz w:val="22"/>
                <w:szCs w:val="22"/>
              </w:rPr>
            </w:pPr>
          </w:p>
        </w:tc>
        <w:tc>
          <w:tcPr>
            <w:tcW w:w="1215" w:type="dxa"/>
            <w:tcBorders>
              <w:top w:val="nil"/>
              <w:left w:val="nil"/>
              <w:bottom w:val="single" w:color="auto" w:sz="4" w:space="0"/>
              <w:right w:val="single" w:color="auto" w:sz="4" w:space="0"/>
            </w:tcBorders>
            <w:noWrap/>
            <w:vAlign w:val="center"/>
          </w:tcPr>
          <w:p w14:paraId="74A1AA9C">
            <w:pPr>
              <w:ind w:left="0"/>
              <w:jc w:val="center"/>
              <w:rPr>
                <w:color w:val="000000"/>
                <w:kern w:val="0"/>
                <w:sz w:val="22"/>
                <w:szCs w:val="22"/>
              </w:rPr>
            </w:pPr>
          </w:p>
        </w:tc>
        <w:tc>
          <w:tcPr>
            <w:tcW w:w="1215" w:type="dxa"/>
            <w:tcBorders>
              <w:top w:val="single" w:color="auto" w:sz="4" w:space="0"/>
              <w:left w:val="nil"/>
              <w:bottom w:val="single" w:color="auto" w:sz="4" w:space="0"/>
              <w:right w:val="single" w:color="auto" w:sz="4" w:space="0"/>
            </w:tcBorders>
            <w:vAlign w:val="center"/>
          </w:tcPr>
          <w:p w14:paraId="791B20B3">
            <w:pPr>
              <w:ind w:left="0"/>
              <w:jc w:val="center"/>
              <w:rPr>
                <w:kern w:val="0"/>
                <w:sz w:val="22"/>
                <w:szCs w:val="22"/>
              </w:rPr>
            </w:pPr>
          </w:p>
        </w:tc>
        <w:tc>
          <w:tcPr>
            <w:tcW w:w="1215" w:type="dxa"/>
            <w:tcBorders>
              <w:top w:val="single" w:color="auto" w:sz="4" w:space="0"/>
              <w:left w:val="single" w:color="auto" w:sz="4" w:space="0"/>
              <w:bottom w:val="single" w:color="auto" w:sz="4" w:space="0"/>
              <w:right w:val="single" w:color="auto" w:sz="4" w:space="0"/>
            </w:tcBorders>
            <w:noWrap/>
            <w:vAlign w:val="center"/>
          </w:tcPr>
          <w:p w14:paraId="20C260F3">
            <w:pPr>
              <w:ind w:left="0"/>
              <w:jc w:val="center"/>
              <w:rPr>
                <w:kern w:val="0"/>
                <w:sz w:val="22"/>
                <w:szCs w:val="22"/>
              </w:rPr>
            </w:pPr>
          </w:p>
        </w:tc>
        <w:tc>
          <w:tcPr>
            <w:tcW w:w="1215" w:type="dxa"/>
            <w:tcBorders>
              <w:top w:val="nil"/>
              <w:left w:val="nil"/>
              <w:bottom w:val="single" w:color="auto" w:sz="4" w:space="0"/>
              <w:right w:val="single" w:color="auto" w:sz="4" w:space="0"/>
            </w:tcBorders>
            <w:noWrap/>
            <w:vAlign w:val="center"/>
          </w:tcPr>
          <w:p w14:paraId="5C0E0FBC">
            <w:pPr>
              <w:ind w:left="0"/>
              <w:jc w:val="center"/>
              <w:rPr>
                <w:kern w:val="0"/>
                <w:sz w:val="22"/>
                <w:szCs w:val="22"/>
              </w:rPr>
            </w:pPr>
          </w:p>
        </w:tc>
        <w:tc>
          <w:tcPr>
            <w:tcW w:w="1215" w:type="dxa"/>
            <w:tcBorders>
              <w:top w:val="nil"/>
              <w:left w:val="nil"/>
              <w:bottom w:val="single" w:color="auto" w:sz="4" w:space="0"/>
              <w:right w:val="single" w:color="auto" w:sz="4" w:space="0"/>
            </w:tcBorders>
            <w:noWrap/>
            <w:vAlign w:val="center"/>
          </w:tcPr>
          <w:p w14:paraId="227E87C0">
            <w:pPr>
              <w:ind w:left="0"/>
              <w:jc w:val="center"/>
              <w:rPr>
                <w:kern w:val="0"/>
                <w:sz w:val="22"/>
                <w:szCs w:val="22"/>
              </w:rPr>
            </w:pPr>
          </w:p>
        </w:tc>
        <w:tc>
          <w:tcPr>
            <w:tcW w:w="1215" w:type="dxa"/>
            <w:tcBorders>
              <w:top w:val="nil"/>
              <w:left w:val="nil"/>
              <w:bottom w:val="single" w:color="auto" w:sz="4" w:space="0"/>
              <w:right w:val="single" w:color="auto" w:sz="4" w:space="0"/>
            </w:tcBorders>
            <w:noWrap/>
            <w:vAlign w:val="center"/>
          </w:tcPr>
          <w:p w14:paraId="6B2A8C2A">
            <w:pPr>
              <w:ind w:left="0"/>
              <w:jc w:val="center"/>
              <w:rPr>
                <w:kern w:val="0"/>
                <w:sz w:val="22"/>
                <w:szCs w:val="22"/>
              </w:rPr>
            </w:pPr>
          </w:p>
        </w:tc>
      </w:tr>
      <w:tr w14:paraId="4D5DD6C0">
        <w:tblPrEx>
          <w:tblCellMar>
            <w:top w:w="0" w:type="dxa"/>
            <w:left w:w="108" w:type="dxa"/>
            <w:bottom w:w="0" w:type="dxa"/>
            <w:right w:w="108" w:type="dxa"/>
          </w:tblCellMar>
        </w:tblPrEx>
        <w:trPr>
          <w:trHeight w:val="440" w:hRule="atLeast"/>
        </w:trPr>
        <w:tc>
          <w:tcPr>
            <w:tcW w:w="2898" w:type="dxa"/>
            <w:tcBorders>
              <w:top w:val="nil"/>
              <w:left w:val="single" w:color="auto" w:sz="4" w:space="0"/>
              <w:bottom w:val="single" w:color="auto" w:sz="4" w:space="0"/>
              <w:right w:val="single" w:color="auto" w:sz="4" w:space="0"/>
            </w:tcBorders>
            <w:noWrap/>
            <w:vAlign w:val="center"/>
          </w:tcPr>
          <w:p w14:paraId="504308D3">
            <w:pPr>
              <w:ind w:left="0"/>
              <w:jc w:val="center"/>
              <w:rPr>
                <w:color w:val="000000"/>
                <w:kern w:val="0"/>
                <w:sz w:val="22"/>
                <w:szCs w:val="22"/>
              </w:rPr>
            </w:pPr>
            <w:r>
              <w:rPr>
                <w:rFonts w:hint="eastAsia" w:ascii="宋体" w:hAnsi="宋体"/>
                <w:color w:val="000000"/>
                <w:kern w:val="0"/>
                <w:sz w:val="22"/>
                <w:szCs w:val="22"/>
              </w:rPr>
              <w:t>扩展不确定度</w:t>
            </w:r>
            <w:r>
              <w:rPr>
                <w:i/>
                <w:iCs/>
                <w:color w:val="000000"/>
                <w:kern w:val="0"/>
                <w:sz w:val="22"/>
                <w:szCs w:val="22"/>
              </w:rPr>
              <w:t>U</w:t>
            </w:r>
          </w:p>
        </w:tc>
        <w:tc>
          <w:tcPr>
            <w:tcW w:w="981" w:type="dxa"/>
            <w:tcBorders>
              <w:top w:val="nil"/>
              <w:left w:val="nil"/>
              <w:bottom w:val="single" w:color="auto" w:sz="4" w:space="0"/>
              <w:right w:val="single" w:color="auto" w:sz="4" w:space="0"/>
            </w:tcBorders>
            <w:noWrap/>
            <w:vAlign w:val="center"/>
          </w:tcPr>
          <w:p w14:paraId="36B6563A">
            <w:pPr>
              <w:ind w:left="0"/>
              <w:jc w:val="center"/>
              <w:rPr>
                <w:color w:val="000000"/>
                <w:kern w:val="0"/>
                <w:sz w:val="22"/>
                <w:szCs w:val="22"/>
              </w:rPr>
            </w:pPr>
          </w:p>
        </w:tc>
        <w:tc>
          <w:tcPr>
            <w:tcW w:w="436" w:type="dxa"/>
            <w:tcBorders>
              <w:top w:val="nil"/>
              <w:left w:val="nil"/>
              <w:bottom w:val="single" w:color="auto" w:sz="4" w:space="0"/>
              <w:right w:val="single" w:color="auto" w:sz="4" w:space="0"/>
            </w:tcBorders>
            <w:noWrap/>
            <w:vAlign w:val="center"/>
          </w:tcPr>
          <w:p w14:paraId="0C16C52B">
            <w:pPr>
              <w:ind w:left="0"/>
              <w:jc w:val="center"/>
              <w:rPr>
                <w:color w:val="000000"/>
                <w:kern w:val="0"/>
                <w:sz w:val="22"/>
                <w:szCs w:val="22"/>
              </w:rPr>
            </w:pPr>
          </w:p>
        </w:tc>
        <w:tc>
          <w:tcPr>
            <w:tcW w:w="1215" w:type="dxa"/>
            <w:tcBorders>
              <w:top w:val="nil"/>
              <w:left w:val="nil"/>
              <w:bottom w:val="single" w:color="auto" w:sz="4" w:space="0"/>
              <w:right w:val="single" w:color="auto" w:sz="4" w:space="0"/>
            </w:tcBorders>
            <w:noWrap/>
            <w:vAlign w:val="center"/>
          </w:tcPr>
          <w:p w14:paraId="6096AAC8">
            <w:pPr>
              <w:ind w:left="0"/>
              <w:jc w:val="center"/>
              <w:rPr>
                <w:color w:val="000000"/>
                <w:kern w:val="0"/>
                <w:sz w:val="22"/>
                <w:szCs w:val="22"/>
              </w:rPr>
            </w:pPr>
          </w:p>
        </w:tc>
        <w:tc>
          <w:tcPr>
            <w:tcW w:w="1215" w:type="dxa"/>
            <w:tcBorders>
              <w:top w:val="nil"/>
              <w:left w:val="nil"/>
              <w:bottom w:val="single" w:color="auto" w:sz="4" w:space="0"/>
              <w:right w:val="single" w:color="auto" w:sz="4" w:space="0"/>
            </w:tcBorders>
            <w:noWrap/>
            <w:vAlign w:val="center"/>
          </w:tcPr>
          <w:p w14:paraId="0F22A249">
            <w:pPr>
              <w:ind w:left="0"/>
              <w:jc w:val="center"/>
              <w:rPr>
                <w:color w:val="000000"/>
                <w:kern w:val="0"/>
                <w:sz w:val="22"/>
                <w:szCs w:val="22"/>
              </w:rPr>
            </w:pPr>
          </w:p>
        </w:tc>
        <w:tc>
          <w:tcPr>
            <w:tcW w:w="1215" w:type="dxa"/>
            <w:tcBorders>
              <w:top w:val="nil"/>
              <w:left w:val="nil"/>
              <w:bottom w:val="single" w:color="auto" w:sz="4" w:space="0"/>
              <w:right w:val="single" w:color="auto" w:sz="4" w:space="0"/>
            </w:tcBorders>
            <w:noWrap/>
            <w:vAlign w:val="center"/>
          </w:tcPr>
          <w:p w14:paraId="3EB88603">
            <w:pPr>
              <w:ind w:left="0"/>
              <w:jc w:val="center"/>
              <w:rPr>
                <w:color w:val="000000"/>
                <w:kern w:val="0"/>
                <w:sz w:val="22"/>
                <w:szCs w:val="22"/>
              </w:rPr>
            </w:pPr>
          </w:p>
        </w:tc>
        <w:tc>
          <w:tcPr>
            <w:tcW w:w="1215" w:type="dxa"/>
            <w:tcBorders>
              <w:top w:val="single" w:color="auto" w:sz="4" w:space="0"/>
              <w:left w:val="nil"/>
              <w:bottom w:val="single" w:color="auto" w:sz="4" w:space="0"/>
              <w:right w:val="single" w:color="auto" w:sz="4" w:space="0"/>
            </w:tcBorders>
            <w:vAlign w:val="center"/>
          </w:tcPr>
          <w:p w14:paraId="47FA0378">
            <w:pPr>
              <w:ind w:left="0"/>
              <w:jc w:val="center"/>
              <w:rPr>
                <w:color w:val="000000"/>
                <w:kern w:val="0"/>
                <w:sz w:val="22"/>
                <w:szCs w:val="22"/>
              </w:rPr>
            </w:pPr>
          </w:p>
        </w:tc>
        <w:tc>
          <w:tcPr>
            <w:tcW w:w="1215" w:type="dxa"/>
            <w:tcBorders>
              <w:top w:val="single" w:color="auto" w:sz="4" w:space="0"/>
              <w:left w:val="single" w:color="auto" w:sz="4" w:space="0"/>
              <w:bottom w:val="single" w:color="auto" w:sz="4" w:space="0"/>
              <w:right w:val="single" w:color="auto" w:sz="4" w:space="0"/>
            </w:tcBorders>
            <w:noWrap/>
            <w:vAlign w:val="center"/>
          </w:tcPr>
          <w:p w14:paraId="5D63FF63">
            <w:pPr>
              <w:ind w:left="0"/>
              <w:jc w:val="center"/>
              <w:rPr>
                <w:color w:val="000000"/>
                <w:kern w:val="0"/>
                <w:sz w:val="22"/>
                <w:szCs w:val="22"/>
              </w:rPr>
            </w:pPr>
          </w:p>
        </w:tc>
        <w:tc>
          <w:tcPr>
            <w:tcW w:w="1215" w:type="dxa"/>
            <w:tcBorders>
              <w:top w:val="nil"/>
              <w:left w:val="nil"/>
              <w:bottom w:val="single" w:color="auto" w:sz="4" w:space="0"/>
              <w:right w:val="single" w:color="auto" w:sz="4" w:space="0"/>
            </w:tcBorders>
            <w:noWrap/>
            <w:vAlign w:val="center"/>
          </w:tcPr>
          <w:p w14:paraId="60496F46">
            <w:pPr>
              <w:ind w:left="0"/>
              <w:jc w:val="center"/>
              <w:rPr>
                <w:color w:val="000000"/>
                <w:kern w:val="0"/>
                <w:sz w:val="22"/>
                <w:szCs w:val="22"/>
              </w:rPr>
            </w:pPr>
          </w:p>
        </w:tc>
        <w:tc>
          <w:tcPr>
            <w:tcW w:w="1215" w:type="dxa"/>
            <w:tcBorders>
              <w:top w:val="nil"/>
              <w:left w:val="nil"/>
              <w:bottom w:val="single" w:color="auto" w:sz="4" w:space="0"/>
              <w:right w:val="single" w:color="auto" w:sz="4" w:space="0"/>
            </w:tcBorders>
            <w:noWrap/>
            <w:vAlign w:val="center"/>
          </w:tcPr>
          <w:p w14:paraId="7C3EC95C">
            <w:pPr>
              <w:ind w:left="0"/>
              <w:jc w:val="center"/>
              <w:rPr>
                <w:color w:val="000000"/>
                <w:kern w:val="0"/>
                <w:sz w:val="22"/>
                <w:szCs w:val="22"/>
              </w:rPr>
            </w:pPr>
          </w:p>
        </w:tc>
        <w:tc>
          <w:tcPr>
            <w:tcW w:w="1215" w:type="dxa"/>
            <w:tcBorders>
              <w:top w:val="nil"/>
              <w:left w:val="nil"/>
              <w:bottom w:val="single" w:color="auto" w:sz="4" w:space="0"/>
              <w:right w:val="single" w:color="auto" w:sz="4" w:space="0"/>
            </w:tcBorders>
            <w:noWrap/>
            <w:vAlign w:val="center"/>
          </w:tcPr>
          <w:p w14:paraId="0FBFD512">
            <w:pPr>
              <w:ind w:left="0"/>
              <w:jc w:val="center"/>
              <w:rPr>
                <w:color w:val="000000"/>
                <w:kern w:val="0"/>
                <w:sz w:val="22"/>
                <w:szCs w:val="22"/>
              </w:rPr>
            </w:pPr>
          </w:p>
        </w:tc>
      </w:tr>
    </w:tbl>
    <w:p w14:paraId="24045AF8">
      <w:pPr>
        <w:ind w:left="0"/>
        <w:rPr>
          <w:szCs w:val="21"/>
        </w:rPr>
      </w:pPr>
    </w:p>
    <w:p w14:paraId="5622A00D">
      <w:pPr>
        <w:ind w:left="0"/>
        <w:rPr>
          <w:szCs w:val="21"/>
        </w:rPr>
      </w:pPr>
    </w:p>
    <w:p w14:paraId="09630943">
      <w:pPr>
        <w:ind w:left="0"/>
        <w:rPr>
          <w:rFonts w:cs="宋体"/>
          <w:szCs w:val="21"/>
        </w:rPr>
      </w:pPr>
      <w:r>
        <w:rPr>
          <w:rFonts w:hint="eastAsia"/>
          <w:szCs w:val="21"/>
        </w:rPr>
        <w:t>校准员：</w:t>
      </w:r>
      <w:r>
        <w:rPr>
          <w:rFonts w:hint="eastAsia" w:cs="宋体"/>
          <w:szCs w:val="21"/>
          <w:u w:val="single"/>
        </w:rPr>
        <w:t xml:space="preserve">                         </w:t>
      </w:r>
      <w:r>
        <w:rPr>
          <w:rFonts w:hint="eastAsia" w:cs="宋体"/>
          <w:szCs w:val="21"/>
        </w:rPr>
        <w:t xml:space="preserve">  核验员：</w:t>
      </w:r>
      <w:r>
        <w:rPr>
          <w:rFonts w:hint="eastAsia" w:cs="宋体"/>
          <w:szCs w:val="21"/>
          <w:u w:val="single"/>
        </w:rPr>
        <w:t xml:space="preserve">                         </w:t>
      </w:r>
      <w:r>
        <w:rPr>
          <w:rFonts w:hint="eastAsia" w:cs="宋体"/>
          <w:szCs w:val="21"/>
        </w:rPr>
        <w:t xml:space="preserve"> 校准日期：           年         月          日</w:t>
      </w:r>
    </w:p>
    <w:p w14:paraId="37671074"/>
    <w:p w14:paraId="07EF0610">
      <w:pPr>
        <w:ind w:left="0"/>
        <w:rPr>
          <w:bCs/>
        </w:rPr>
        <w:sectPr>
          <w:pgSz w:w="16838" w:h="11906" w:orient="landscape"/>
          <w:pgMar w:top="1134" w:right="1440" w:bottom="1134" w:left="1440" w:header="851" w:footer="992" w:gutter="0"/>
          <w:cols w:space="720" w:num="1"/>
          <w:docGrid w:type="lines" w:linePitch="312" w:charSpace="0"/>
        </w:sectPr>
      </w:pPr>
      <w:r>
        <w:rPr>
          <w:rFonts w:hint="eastAsia"/>
          <w:szCs w:val="21"/>
        </w:rPr>
        <w:t>校准地点：□本实验室</w:t>
      </w:r>
      <w:r>
        <w:rPr>
          <w:rFonts w:hint="eastAsia"/>
          <w:szCs w:val="21"/>
          <w:u w:val="single"/>
        </w:rPr>
        <w:t xml:space="preserve">                                 </w:t>
      </w:r>
      <w:r>
        <w:rPr>
          <w:rFonts w:hint="eastAsia"/>
          <w:szCs w:val="21"/>
        </w:rPr>
        <w:t>□现场</w:t>
      </w:r>
      <w:r>
        <w:rPr>
          <w:rFonts w:hint="eastAsia"/>
          <w:szCs w:val="21"/>
          <w:u w:val="single"/>
        </w:rPr>
        <w:t xml:space="preserve">                                                          </w:t>
      </w:r>
    </w:p>
    <w:p w14:paraId="77C85812">
      <w:pPr>
        <w:pStyle w:val="62"/>
      </w:pPr>
      <w:bookmarkStart w:id="206" w:name="_Toc19348"/>
      <w:r>
        <w:rPr>
          <w:rFonts w:hint="eastAsia"/>
        </w:rPr>
        <w:t>附录E</w:t>
      </w:r>
      <w:bookmarkEnd w:id="206"/>
    </w:p>
    <w:p w14:paraId="5BE79696">
      <w:pPr>
        <w:pStyle w:val="62"/>
        <w:jc w:val="center"/>
        <w:rPr>
          <w:rFonts w:ascii="Times New Roman"/>
        </w:rPr>
      </w:pPr>
      <w:bookmarkStart w:id="207" w:name="_Toc16354"/>
      <w:r>
        <w:rPr>
          <w:rFonts w:hint="eastAsia" w:ascii="Times New Roman"/>
        </w:rPr>
        <w:t>称重物料罐分步替代法校准证书内页格式（全量程）（示例）</w:t>
      </w:r>
      <w:bookmarkEnd w:id="207"/>
    </w:p>
    <w:p w14:paraId="5E88CFA2">
      <w:pPr>
        <w:spacing w:before="156" w:beforeLines="50" w:after="156" w:afterLines="50"/>
        <w:ind w:left="0"/>
        <w:jc w:val="center"/>
        <w:rPr>
          <w:rFonts w:hint="eastAsia" w:ascii="黑体" w:hAnsi="黑体" w:eastAsia="黑体" w:cs="黑体"/>
        </w:rPr>
      </w:pPr>
      <w:r>
        <w:rPr>
          <w:rFonts w:hint="eastAsia" w:ascii="黑体" w:hAnsi="黑体" w:eastAsia="黑体" w:cs="黑体"/>
        </w:rPr>
        <w:t>校准结果</w:t>
      </w:r>
    </w:p>
    <w:p w14:paraId="41925D35">
      <w:pPr>
        <w:pStyle w:val="10"/>
        <w:spacing w:line="360" w:lineRule="auto"/>
        <w:ind w:right="1126"/>
        <w:rPr>
          <w:rFonts w:ascii="Times New Roman" w:hAnsi="Times New Roman"/>
        </w:rPr>
      </w:pPr>
      <w:r>
        <w:rPr>
          <w:rFonts w:hint="eastAsia" w:ascii="Times New Roman" w:hAnsi="Times New Roman"/>
          <w:iCs/>
          <w:szCs w:val="24"/>
        </w:rPr>
        <w:t>Max</w:t>
      </w:r>
      <w:r>
        <w:rPr>
          <w:rFonts w:hint="eastAsia" w:ascii="Times New Roman" w:hAnsi="Times New Roman"/>
          <w:szCs w:val="24"/>
        </w:rPr>
        <w:t xml:space="preserve">=               </w:t>
      </w:r>
      <w:r>
        <w:rPr>
          <w:rFonts w:hint="eastAsia" w:ascii="Times New Roman" w:hAnsi="Times New Roman"/>
          <w:i/>
          <w:szCs w:val="24"/>
        </w:rPr>
        <w:t>d</w:t>
      </w:r>
      <w:r>
        <w:rPr>
          <w:rFonts w:hint="eastAsia" w:ascii="Times New Roman" w:hAnsi="Times New Roman"/>
          <w:szCs w:val="24"/>
        </w:rPr>
        <w:t xml:space="preserve">=             </w:t>
      </w:r>
      <w:r>
        <w:rPr>
          <w:rFonts w:hint="eastAsia" w:ascii="Times New Roman" w:hAnsi="Times New Roman"/>
        </w:rPr>
        <w:t>标准载荷单元=</w:t>
      </w:r>
    </w:p>
    <w:tbl>
      <w:tblPr>
        <w:tblStyle w:val="21"/>
        <w:tblW w:w="491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16"/>
        <w:gridCol w:w="1437"/>
        <w:gridCol w:w="1505"/>
        <w:gridCol w:w="1488"/>
        <w:gridCol w:w="1713"/>
      </w:tblGrid>
      <w:tr w14:paraId="6D0DFD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52" w:type="pct"/>
            <w:vAlign w:val="center"/>
          </w:tcPr>
          <w:p w14:paraId="270E8E8D">
            <w:pPr>
              <w:widowControl w:val="0"/>
              <w:ind w:left="0"/>
              <w:jc w:val="center"/>
            </w:pPr>
            <w:r>
              <w:rPr>
                <w:rFonts w:hint="eastAsia"/>
              </w:rPr>
              <w:t>校准项目</w:t>
            </w:r>
          </w:p>
        </w:tc>
        <w:tc>
          <w:tcPr>
            <w:tcW w:w="759" w:type="pct"/>
            <w:vAlign w:val="center"/>
          </w:tcPr>
          <w:p w14:paraId="747F77F5">
            <w:pPr>
              <w:widowControl w:val="0"/>
              <w:ind w:left="0"/>
              <w:jc w:val="center"/>
              <w:rPr>
                <w:i/>
              </w:rPr>
            </w:pPr>
            <w:r>
              <w:rPr>
                <w:rFonts w:hint="eastAsia"/>
              </w:rPr>
              <w:t>载荷</w:t>
            </w:r>
            <w:r>
              <w:rPr>
                <w:rFonts w:hint="eastAsia"/>
                <w:i/>
              </w:rPr>
              <w:t>L</w:t>
            </w:r>
          </w:p>
          <w:p w14:paraId="5929EFCF">
            <w:pPr>
              <w:widowControl w:val="0"/>
              <w:ind w:left="0"/>
              <w:jc w:val="center"/>
            </w:pPr>
            <w:r>
              <w:rPr>
                <w:rFonts w:hint="eastAsia"/>
              </w:rPr>
              <w:t>（   ）</w:t>
            </w:r>
          </w:p>
        </w:tc>
        <w:tc>
          <w:tcPr>
            <w:tcW w:w="795" w:type="pct"/>
            <w:vAlign w:val="center"/>
          </w:tcPr>
          <w:p w14:paraId="38E1B124">
            <w:pPr>
              <w:widowControl w:val="0"/>
              <w:ind w:left="0"/>
              <w:jc w:val="center"/>
              <w:rPr>
                <w:i/>
              </w:rPr>
            </w:pPr>
            <w:r>
              <w:rPr>
                <w:rFonts w:hint="eastAsia"/>
              </w:rPr>
              <w:t>示值</w:t>
            </w:r>
            <w:r>
              <w:rPr>
                <w:rFonts w:hint="eastAsia"/>
                <w:i/>
              </w:rPr>
              <w:t>I</w:t>
            </w:r>
          </w:p>
          <w:p w14:paraId="45557CDB">
            <w:pPr>
              <w:widowControl w:val="0"/>
              <w:ind w:left="0"/>
              <w:jc w:val="center"/>
            </w:pPr>
            <w:r>
              <w:rPr>
                <w:rFonts w:hint="eastAsia"/>
              </w:rPr>
              <w:t>（   ）</w:t>
            </w:r>
          </w:p>
        </w:tc>
        <w:tc>
          <w:tcPr>
            <w:tcW w:w="786" w:type="pct"/>
            <w:vAlign w:val="center"/>
          </w:tcPr>
          <w:p w14:paraId="7BA3C209">
            <w:pPr>
              <w:widowControl w:val="0"/>
              <w:ind w:left="0"/>
              <w:jc w:val="center"/>
            </w:pPr>
            <w:r>
              <w:rPr>
                <w:rFonts w:hint="eastAsia"/>
              </w:rPr>
              <w:t>示值误差</w:t>
            </w:r>
            <w:r>
              <w:rPr>
                <w:rFonts w:hint="eastAsia"/>
                <w:i/>
              </w:rPr>
              <w:t>E</w:t>
            </w:r>
            <w:r>
              <w:rPr>
                <w:rFonts w:hint="eastAsia"/>
              </w:rPr>
              <w:t>（    ）</w:t>
            </w:r>
          </w:p>
        </w:tc>
        <w:tc>
          <w:tcPr>
            <w:tcW w:w="905" w:type="pct"/>
            <w:vAlign w:val="center"/>
          </w:tcPr>
          <w:p w14:paraId="5457C35D">
            <w:pPr>
              <w:widowControl w:val="0"/>
              <w:ind w:left="0"/>
              <w:jc w:val="center"/>
            </w:pPr>
            <w:r>
              <w:rPr>
                <w:rFonts w:hint="eastAsia"/>
              </w:rPr>
              <w:t>扩展不确定度</w:t>
            </w:r>
            <w:r>
              <w:rPr>
                <w:rFonts w:hint="eastAsia"/>
                <w:i/>
              </w:rPr>
              <w:t>U</w:t>
            </w:r>
            <w:r>
              <w:rPr>
                <w:rFonts w:hint="eastAsia"/>
              </w:rPr>
              <w:t>（</w:t>
            </w:r>
            <w:r>
              <w:rPr>
                <w:rFonts w:hint="eastAsia"/>
                <w:i/>
              </w:rPr>
              <w:t>k</w:t>
            </w:r>
            <w:r>
              <w:rPr>
                <w:rFonts w:hint="eastAsia"/>
              </w:rPr>
              <w:t>=2）</w:t>
            </w:r>
          </w:p>
          <w:p w14:paraId="45EE966F">
            <w:pPr>
              <w:widowControl w:val="0"/>
              <w:ind w:left="0"/>
              <w:jc w:val="center"/>
            </w:pPr>
            <w:r>
              <w:rPr>
                <w:rFonts w:hint="eastAsia"/>
              </w:rPr>
              <w:t>（    ）</w:t>
            </w:r>
          </w:p>
        </w:tc>
      </w:tr>
      <w:tr w14:paraId="5061B4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52" w:type="pct"/>
            <w:vAlign w:val="center"/>
          </w:tcPr>
          <w:p w14:paraId="4CBE895E">
            <w:pPr>
              <w:widowControl w:val="0"/>
              <w:ind w:left="0"/>
              <w:jc w:val="center"/>
            </w:pPr>
            <w:r>
              <w:rPr>
                <w:rFonts w:hint="eastAsia"/>
              </w:rPr>
              <w:t>重复性</w:t>
            </w:r>
          </w:p>
        </w:tc>
        <w:tc>
          <w:tcPr>
            <w:tcW w:w="759" w:type="pct"/>
            <w:vAlign w:val="center"/>
          </w:tcPr>
          <w:p w14:paraId="44A8C339">
            <w:pPr>
              <w:widowControl w:val="0"/>
              <w:ind w:left="0"/>
              <w:jc w:val="center"/>
            </w:pPr>
          </w:p>
        </w:tc>
        <w:tc>
          <w:tcPr>
            <w:tcW w:w="795" w:type="pct"/>
            <w:vAlign w:val="center"/>
          </w:tcPr>
          <w:p w14:paraId="19564703">
            <w:pPr>
              <w:widowControl w:val="0"/>
              <w:ind w:left="0"/>
              <w:jc w:val="center"/>
            </w:pPr>
          </w:p>
        </w:tc>
        <w:tc>
          <w:tcPr>
            <w:tcW w:w="786" w:type="pct"/>
            <w:vAlign w:val="center"/>
          </w:tcPr>
          <w:p w14:paraId="1DEF07BF">
            <w:pPr>
              <w:widowControl w:val="0"/>
              <w:ind w:left="0"/>
              <w:jc w:val="center"/>
            </w:pPr>
          </w:p>
        </w:tc>
        <w:tc>
          <w:tcPr>
            <w:tcW w:w="905" w:type="pct"/>
            <w:vAlign w:val="center"/>
          </w:tcPr>
          <w:p w14:paraId="7608F310">
            <w:pPr>
              <w:widowControl w:val="0"/>
              <w:ind w:left="0"/>
              <w:jc w:val="center"/>
            </w:pPr>
          </w:p>
        </w:tc>
      </w:tr>
      <w:tr w14:paraId="49A269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52" w:type="pct"/>
            <w:vAlign w:val="center"/>
          </w:tcPr>
          <w:p w14:paraId="4F50F786">
            <w:pPr>
              <w:widowControl w:val="0"/>
              <w:ind w:left="0"/>
              <w:jc w:val="center"/>
            </w:pPr>
            <w:r>
              <w:rPr>
                <w:rFonts w:cs="Courier New"/>
                <w:shd w:val="clear" w:color="auto" w:fill="FFFFFF"/>
              </w:rPr>
              <w:t>同</w:t>
            </w:r>
            <w:r>
              <w:rPr>
                <w:rFonts w:cs="Arial"/>
                <w:shd w:val="clear" w:color="auto" w:fill="FFFFFF"/>
              </w:rPr>
              <w:t>一载荷在不</w:t>
            </w:r>
            <w:r>
              <w:rPr>
                <w:rFonts w:cs="Courier New"/>
                <w:shd w:val="clear" w:color="auto" w:fill="FFFFFF"/>
              </w:rPr>
              <w:t>同</w:t>
            </w:r>
            <w:r>
              <w:rPr>
                <w:rFonts w:cs="Arial"/>
                <w:shd w:val="clear" w:color="auto" w:fill="FFFFFF"/>
              </w:rPr>
              <w:t>位置的示值误差（</w:t>
            </w:r>
            <w:r>
              <w:rPr>
                <w:rFonts w:cs="Courier New"/>
                <w:shd w:val="clear" w:color="auto" w:fill="FFFFFF"/>
              </w:rPr>
              <w:t>若</w:t>
            </w:r>
            <w:r>
              <w:rPr>
                <w:rFonts w:cs="Arial"/>
                <w:shd w:val="clear" w:color="auto" w:fill="FFFFFF"/>
              </w:rPr>
              <w:t>适用）</w:t>
            </w:r>
          </w:p>
        </w:tc>
        <w:tc>
          <w:tcPr>
            <w:tcW w:w="759" w:type="pct"/>
            <w:vAlign w:val="center"/>
          </w:tcPr>
          <w:p w14:paraId="7034C22B">
            <w:pPr>
              <w:widowControl w:val="0"/>
              <w:ind w:left="0"/>
              <w:jc w:val="center"/>
            </w:pPr>
          </w:p>
        </w:tc>
        <w:tc>
          <w:tcPr>
            <w:tcW w:w="795" w:type="pct"/>
            <w:vAlign w:val="center"/>
          </w:tcPr>
          <w:p w14:paraId="3309DA71">
            <w:pPr>
              <w:widowControl w:val="0"/>
              <w:ind w:left="0"/>
              <w:jc w:val="center"/>
            </w:pPr>
          </w:p>
        </w:tc>
        <w:tc>
          <w:tcPr>
            <w:tcW w:w="786" w:type="pct"/>
            <w:vAlign w:val="center"/>
          </w:tcPr>
          <w:p w14:paraId="1C0DED68">
            <w:pPr>
              <w:widowControl w:val="0"/>
              <w:ind w:left="0"/>
              <w:jc w:val="center"/>
            </w:pPr>
          </w:p>
        </w:tc>
        <w:tc>
          <w:tcPr>
            <w:tcW w:w="905" w:type="pct"/>
            <w:vAlign w:val="center"/>
          </w:tcPr>
          <w:p w14:paraId="5D5965C7">
            <w:pPr>
              <w:widowControl w:val="0"/>
              <w:ind w:left="0"/>
              <w:jc w:val="center"/>
            </w:pPr>
          </w:p>
        </w:tc>
      </w:tr>
      <w:tr w14:paraId="15C4AA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52" w:type="pct"/>
            <w:vMerge w:val="restart"/>
            <w:vAlign w:val="center"/>
          </w:tcPr>
          <w:p w14:paraId="76B8DD8D">
            <w:pPr>
              <w:widowControl w:val="0"/>
              <w:ind w:left="0"/>
              <w:jc w:val="center"/>
            </w:pPr>
            <w:r>
              <w:rPr>
                <w:rFonts w:hint="eastAsia"/>
              </w:rPr>
              <w:t>示值误差</w:t>
            </w:r>
          </w:p>
        </w:tc>
        <w:tc>
          <w:tcPr>
            <w:tcW w:w="759" w:type="pct"/>
            <w:vAlign w:val="center"/>
          </w:tcPr>
          <w:p w14:paraId="2D18706C">
            <w:pPr>
              <w:widowControl w:val="0"/>
              <w:ind w:left="0"/>
              <w:jc w:val="center"/>
            </w:pPr>
          </w:p>
        </w:tc>
        <w:tc>
          <w:tcPr>
            <w:tcW w:w="795" w:type="pct"/>
            <w:vAlign w:val="center"/>
          </w:tcPr>
          <w:p w14:paraId="1D9D9F00">
            <w:pPr>
              <w:widowControl w:val="0"/>
              <w:ind w:left="0"/>
              <w:jc w:val="center"/>
            </w:pPr>
          </w:p>
        </w:tc>
        <w:tc>
          <w:tcPr>
            <w:tcW w:w="786" w:type="pct"/>
            <w:vAlign w:val="center"/>
          </w:tcPr>
          <w:p w14:paraId="42E98C94">
            <w:pPr>
              <w:widowControl w:val="0"/>
              <w:ind w:left="0"/>
              <w:jc w:val="center"/>
            </w:pPr>
          </w:p>
        </w:tc>
        <w:tc>
          <w:tcPr>
            <w:tcW w:w="905" w:type="pct"/>
            <w:vAlign w:val="center"/>
          </w:tcPr>
          <w:p w14:paraId="14C2F1D8">
            <w:pPr>
              <w:widowControl w:val="0"/>
              <w:ind w:left="0"/>
              <w:jc w:val="center"/>
            </w:pPr>
          </w:p>
        </w:tc>
      </w:tr>
      <w:tr w14:paraId="084C05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52" w:type="pct"/>
            <w:vMerge w:val="continue"/>
            <w:vAlign w:val="center"/>
          </w:tcPr>
          <w:p w14:paraId="34CA47CD">
            <w:pPr>
              <w:widowControl w:val="0"/>
              <w:ind w:left="0"/>
              <w:jc w:val="center"/>
            </w:pPr>
          </w:p>
        </w:tc>
        <w:tc>
          <w:tcPr>
            <w:tcW w:w="759" w:type="pct"/>
            <w:vAlign w:val="center"/>
          </w:tcPr>
          <w:p w14:paraId="4F314C27">
            <w:pPr>
              <w:widowControl w:val="0"/>
              <w:ind w:left="0"/>
              <w:jc w:val="center"/>
            </w:pPr>
          </w:p>
        </w:tc>
        <w:tc>
          <w:tcPr>
            <w:tcW w:w="795" w:type="pct"/>
            <w:vAlign w:val="center"/>
          </w:tcPr>
          <w:p w14:paraId="3143555A">
            <w:pPr>
              <w:widowControl w:val="0"/>
              <w:ind w:left="0"/>
              <w:jc w:val="center"/>
            </w:pPr>
          </w:p>
        </w:tc>
        <w:tc>
          <w:tcPr>
            <w:tcW w:w="786" w:type="pct"/>
            <w:vAlign w:val="center"/>
          </w:tcPr>
          <w:p w14:paraId="7F2E27B9">
            <w:pPr>
              <w:widowControl w:val="0"/>
              <w:ind w:left="0"/>
              <w:jc w:val="center"/>
            </w:pPr>
          </w:p>
        </w:tc>
        <w:tc>
          <w:tcPr>
            <w:tcW w:w="905" w:type="pct"/>
            <w:vAlign w:val="center"/>
          </w:tcPr>
          <w:p w14:paraId="28B6CFBB">
            <w:pPr>
              <w:widowControl w:val="0"/>
              <w:ind w:left="0"/>
              <w:jc w:val="center"/>
            </w:pPr>
          </w:p>
        </w:tc>
      </w:tr>
      <w:tr w14:paraId="351E8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52" w:type="pct"/>
            <w:vMerge w:val="continue"/>
            <w:vAlign w:val="center"/>
          </w:tcPr>
          <w:p w14:paraId="677F1E5C">
            <w:pPr>
              <w:widowControl w:val="0"/>
              <w:ind w:left="0"/>
              <w:jc w:val="center"/>
            </w:pPr>
          </w:p>
        </w:tc>
        <w:tc>
          <w:tcPr>
            <w:tcW w:w="759" w:type="pct"/>
            <w:vAlign w:val="center"/>
          </w:tcPr>
          <w:p w14:paraId="12BCAB95">
            <w:pPr>
              <w:widowControl w:val="0"/>
              <w:ind w:left="0"/>
              <w:jc w:val="center"/>
            </w:pPr>
          </w:p>
        </w:tc>
        <w:tc>
          <w:tcPr>
            <w:tcW w:w="795" w:type="pct"/>
            <w:vAlign w:val="center"/>
          </w:tcPr>
          <w:p w14:paraId="6B0F25C7">
            <w:pPr>
              <w:widowControl w:val="0"/>
              <w:ind w:left="0"/>
              <w:jc w:val="center"/>
            </w:pPr>
          </w:p>
        </w:tc>
        <w:tc>
          <w:tcPr>
            <w:tcW w:w="786" w:type="pct"/>
            <w:vAlign w:val="center"/>
          </w:tcPr>
          <w:p w14:paraId="3F293B67">
            <w:pPr>
              <w:widowControl w:val="0"/>
              <w:ind w:left="0"/>
              <w:jc w:val="center"/>
            </w:pPr>
          </w:p>
        </w:tc>
        <w:tc>
          <w:tcPr>
            <w:tcW w:w="905" w:type="pct"/>
            <w:vAlign w:val="center"/>
          </w:tcPr>
          <w:p w14:paraId="2BD8BEDA">
            <w:pPr>
              <w:widowControl w:val="0"/>
              <w:ind w:left="0"/>
              <w:jc w:val="center"/>
            </w:pPr>
          </w:p>
        </w:tc>
      </w:tr>
      <w:tr w14:paraId="53F71A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52" w:type="pct"/>
            <w:vMerge w:val="continue"/>
            <w:vAlign w:val="center"/>
          </w:tcPr>
          <w:p w14:paraId="6E785912">
            <w:pPr>
              <w:widowControl w:val="0"/>
              <w:ind w:left="0"/>
              <w:jc w:val="center"/>
            </w:pPr>
          </w:p>
        </w:tc>
        <w:tc>
          <w:tcPr>
            <w:tcW w:w="759" w:type="pct"/>
            <w:vAlign w:val="center"/>
          </w:tcPr>
          <w:p w14:paraId="19FDF6BC">
            <w:pPr>
              <w:widowControl w:val="0"/>
              <w:ind w:left="0"/>
              <w:jc w:val="center"/>
            </w:pPr>
          </w:p>
        </w:tc>
        <w:tc>
          <w:tcPr>
            <w:tcW w:w="795" w:type="pct"/>
            <w:vAlign w:val="center"/>
          </w:tcPr>
          <w:p w14:paraId="3EEF530D">
            <w:pPr>
              <w:widowControl w:val="0"/>
              <w:ind w:left="0"/>
              <w:jc w:val="center"/>
            </w:pPr>
          </w:p>
        </w:tc>
        <w:tc>
          <w:tcPr>
            <w:tcW w:w="786" w:type="pct"/>
            <w:vAlign w:val="center"/>
          </w:tcPr>
          <w:p w14:paraId="7E5201DF">
            <w:pPr>
              <w:widowControl w:val="0"/>
              <w:ind w:left="0"/>
              <w:jc w:val="center"/>
            </w:pPr>
          </w:p>
        </w:tc>
        <w:tc>
          <w:tcPr>
            <w:tcW w:w="905" w:type="pct"/>
            <w:vAlign w:val="center"/>
          </w:tcPr>
          <w:p w14:paraId="2B1EB449">
            <w:pPr>
              <w:widowControl w:val="0"/>
              <w:ind w:left="0"/>
              <w:jc w:val="center"/>
            </w:pPr>
          </w:p>
        </w:tc>
      </w:tr>
      <w:tr w14:paraId="4A8AA5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52" w:type="pct"/>
            <w:vMerge w:val="continue"/>
            <w:vAlign w:val="center"/>
          </w:tcPr>
          <w:p w14:paraId="49B23403">
            <w:pPr>
              <w:widowControl w:val="0"/>
              <w:ind w:left="0"/>
              <w:jc w:val="center"/>
            </w:pPr>
          </w:p>
        </w:tc>
        <w:tc>
          <w:tcPr>
            <w:tcW w:w="759" w:type="pct"/>
            <w:vAlign w:val="center"/>
          </w:tcPr>
          <w:p w14:paraId="548230A1">
            <w:pPr>
              <w:widowControl w:val="0"/>
              <w:ind w:left="0"/>
              <w:jc w:val="center"/>
            </w:pPr>
          </w:p>
        </w:tc>
        <w:tc>
          <w:tcPr>
            <w:tcW w:w="795" w:type="pct"/>
            <w:vAlign w:val="center"/>
          </w:tcPr>
          <w:p w14:paraId="21906CA7">
            <w:pPr>
              <w:widowControl w:val="0"/>
              <w:ind w:left="0"/>
              <w:jc w:val="center"/>
            </w:pPr>
          </w:p>
        </w:tc>
        <w:tc>
          <w:tcPr>
            <w:tcW w:w="786" w:type="pct"/>
            <w:vAlign w:val="center"/>
          </w:tcPr>
          <w:p w14:paraId="3CA5062E">
            <w:pPr>
              <w:widowControl w:val="0"/>
              <w:ind w:left="0"/>
              <w:jc w:val="center"/>
            </w:pPr>
          </w:p>
        </w:tc>
        <w:tc>
          <w:tcPr>
            <w:tcW w:w="905" w:type="pct"/>
            <w:vAlign w:val="center"/>
          </w:tcPr>
          <w:p w14:paraId="21EADF71">
            <w:pPr>
              <w:widowControl w:val="0"/>
              <w:ind w:left="0"/>
              <w:jc w:val="center"/>
            </w:pPr>
          </w:p>
        </w:tc>
      </w:tr>
      <w:tr w14:paraId="2CFDE2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52" w:type="pct"/>
            <w:vMerge w:val="continue"/>
            <w:vAlign w:val="center"/>
          </w:tcPr>
          <w:p w14:paraId="43FCFDB7">
            <w:pPr>
              <w:widowControl w:val="0"/>
              <w:ind w:left="0"/>
              <w:jc w:val="center"/>
            </w:pPr>
          </w:p>
        </w:tc>
        <w:tc>
          <w:tcPr>
            <w:tcW w:w="759" w:type="pct"/>
            <w:vAlign w:val="center"/>
          </w:tcPr>
          <w:p w14:paraId="5B9E2EDE">
            <w:pPr>
              <w:widowControl w:val="0"/>
              <w:ind w:left="0"/>
              <w:jc w:val="center"/>
            </w:pPr>
          </w:p>
        </w:tc>
        <w:tc>
          <w:tcPr>
            <w:tcW w:w="795" w:type="pct"/>
            <w:vAlign w:val="center"/>
          </w:tcPr>
          <w:p w14:paraId="5E78EF3C">
            <w:pPr>
              <w:widowControl w:val="0"/>
              <w:ind w:left="0"/>
              <w:jc w:val="center"/>
            </w:pPr>
          </w:p>
        </w:tc>
        <w:tc>
          <w:tcPr>
            <w:tcW w:w="786" w:type="pct"/>
            <w:vAlign w:val="center"/>
          </w:tcPr>
          <w:p w14:paraId="607EC2E9">
            <w:pPr>
              <w:widowControl w:val="0"/>
              <w:ind w:left="0"/>
              <w:jc w:val="center"/>
            </w:pPr>
          </w:p>
        </w:tc>
        <w:tc>
          <w:tcPr>
            <w:tcW w:w="905" w:type="pct"/>
            <w:vAlign w:val="center"/>
          </w:tcPr>
          <w:p w14:paraId="7A0856FB">
            <w:pPr>
              <w:widowControl w:val="0"/>
              <w:ind w:left="0"/>
              <w:jc w:val="center"/>
            </w:pPr>
          </w:p>
        </w:tc>
      </w:tr>
      <w:tr w14:paraId="2B51B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52" w:type="pct"/>
            <w:vMerge w:val="continue"/>
            <w:vAlign w:val="center"/>
          </w:tcPr>
          <w:p w14:paraId="22E46A8F">
            <w:pPr>
              <w:widowControl w:val="0"/>
              <w:ind w:left="0"/>
              <w:jc w:val="center"/>
            </w:pPr>
          </w:p>
        </w:tc>
        <w:tc>
          <w:tcPr>
            <w:tcW w:w="759" w:type="pct"/>
            <w:vAlign w:val="center"/>
          </w:tcPr>
          <w:p w14:paraId="2FD8A633">
            <w:pPr>
              <w:widowControl w:val="0"/>
              <w:ind w:left="0"/>
              <w:jc w:val="center"/>
            </w:pPr>
          </w:p>
        </w:tc>
        <w:tc>
          <w:tcPr>
            <w:tcW w:w="795" w:type="pct"/>
            <w:vAlign w:val="center"/>
          </w:tcPr>
          <w:p w14:paraId="256CB97D">
            <w:pPr>
              <w:widowControl w:val="0"/>
              <w:ind w:left="0"/>
              <w:jc w:val="center"/>
            </w:pPr>
          </w:p>
        </w:tc>
        <w:tc>
          <w:tcPr>
            <w:tcW w:w="786" w:type="pct"/>
            <w:vAlign w:val="center"/>
          </w:tcPr>
          <w:p w14:paraId="5714A469">
            <w:pPr>
              <w:widowControl w:val="0"/>
              <w:ind w:left="0"/>
              <w:jc w:val="center"/>
            </w:pPr>
          </w:p>
        </w:tc>
        <w:tc>
          <w:tcPr>
            <w:tcW w:w="905" w:type="pct"/>
            <w:vAlign w:val="center"/>
          </w:tcPr>
          <w:p w14:paraId="4DF42C3B">
            <w:pPr>
              <w:widowControl w:val="0"/>
              <w:ind w:left="0"/>
              <w:jc w:val="center"/>
            </w:pPr>
          </w:p>
        </w:tc>
      </w:tr>
      <w:tr w14:paraId="445B47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52" w:type="pct"/>
            <w:vMerge w:val="continue"/>
            <w:vAlign w:val="center"/>
          </w:tcPr>
          <w:p w14:paraId="78CCF873">
            <w:pPr>
              <w:widowControl w:val="0"/>
              <w:ind w:left="0"/>
              <w:jc w:val="center"/>
            </w:pPr>
          </w:p>
        </w:tc>
        <w:tc>
          <w:tcPr>
            <w:tcW w:w="759" w:type="pct"/>
            <w:vAlign w:val="center"/>
          </w:tcPr>
          <w:p w14:paraId="6A64539A">
            <w:pPr>
              <w:widowControl w:val="0"/>
              <w:ind w:left="0"/>
              <w:jc w:val="center"/>
            </w:pPr>
          </w:p>
        </w:tc>
        <w:tc>
          <w:tcPr>
            <w:tcW w:w="795" w:type="pct"/>
            <w:vAlign w:val="center"/>
          </w:tcPr>
          <w:p w14:paraId="25E836A7">
            <w:pPr>
              <w:widowControl w:val="0"/>
              <w:ind w:left="0"/>
              <w:jc w:val="center"/>
            </w:pPr>
          </w:p>
        </w:tc>
        <w:tc>
          <w:tcPr>
            <w:tcW w:w="786" w:type="pct"/>
            <w:vAlign w:val="center"/>
          </w:tcPr>
          <w:p w14:paraId="58857A3C">
            <w:pPr>
              <w:widowControl w:val="0"/>
              <w:ind w:left="0"/>
              <w:jc w:val="center"/>
            </w:pPr>
          </w:p>
        </w:tc>
        <w:tc>
          <w:tcPr>
            <w:tcW w:w="905" w:type="pct"/>
            <w:vAlign w:val="center"/>
          </w:tcPr>
          <w:p w14:paraId="13AF3A46">
            <w:pPr>
              <w:widowControl w:val="0"/>
              <w:ind w:left="0"/>
              <w:jc w:val="center"/>
            </w:pPr>
          </w:p>
        </w:tc>
      </w:tr>
      <w:tr w14:paraId="0FD87A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52" w:type="pct"/>
            <w:vMerge w:val="continue"/>
            <w:vAlign w:val="center"/>
          </w:tcPr>
          <w:p w14:paraId="7CC66894">
            <w:pPr>
              <w:widowControl w:val="0"/>
              <w:ind w:left="0"/>
              <w:jc w:val="center"/>
            </w:pPr>
          </w:p>
        </w:tc>
        <w:tc>
          <w:tcPr>
            <w:tcW w:w="759" w:type="pct"/>
            <w:vAlign w:val="center"/>
          </w:tcPr>
          <w:p w14:paraId="62A6F0CC">
            <w:pPr>
              <w:widowControl w:val="0"/>
              <w:ind w:left="0"/>
              <w:jc w:val="center"/>
            </w:pPr>
          </w:p>
        </w:tc>
        <w:tc>
          <w:tcPr>
            <w:tcW w:w="795" w:type="pct"/>
            <w:vAlign w:val="center"/>
          </w:tcPr>
          <w:p w14:paraId="3970A5D7">
            <w:pPr>
              <w:widowControl w:val="0"/>
              <w:ind w:left="0"/>
              <w:jc w:val="center"/>
            </w:pPr>
          </w:p>
        </w:tc>
        <w:tc>
          <w:tcPr>
            <w:tcW w:w="786" w:type="pct"/>
            <w:vAlign w:val="center"/>
          </w:tcPr>
          <w:p w14:paraId="3196F9E1">
            <w:pPr>
              <w:widowControl w:val="0"/>
              <w:ind w:left="0"/>
              <w:jc w:val="center"/>
            </w:pPr>
          </w:p>
        </w:tc>
        <w:tc>
          <w:tcPr>
            <w:tcW w:w="905" w:type="pct"/>
            <w:vAlign w:val="center"/>
          </w:tcPr>
          <w:p w14:paraId="07FCFF3D">
            <w:pPr>
              <w:widowControl w:val="0"/>
              <w:ind w:left="0"/>
              <w:jc w:val="center"/>
            </w:pPr>
          </w:p>
        </w:tc>
      </w:tr>
    </w:tbl>
    <w:p w14:paraId="7ED171CA"/>
    <w:p w14:paraId="4407489F">
      <w:r>
        <w:rPr>
          <w:rFonts w:hint="eastAsia"/>
        </w:rPr>
        <w:t>校准环境条件及地点：</w:t>
      </w:r>
    </w:p>
    <w:p w14:paraId="6679C783"/>
    <w:p w14:paraId="68E7DEEE">
      <w:r>
        <w:rPr>
          <w:rFonts w:hint="eastAsia"/>
        </w:rPr>
        <w:t>温度：                湿度：                地点：               其他：</w:t>
      </w:r>
    </w:p>
    <w:p w14:paraId="22603158"/>
    <w:p w14:paraId="5F51D17C"/>
    <w:p w14:paraId="60DE7E0D">
      <w:pPr>
        <w:jc w:val="center"/>
        <w:rPr>
          <w:rStyle w:val="38"/>
          <w:rFonts w:ascii="Times New Roman" w:hAnsi="Times New Roman" w:eastAsia="宋体"/>
          <w:b w:val="0"/>
        </w:rPr>
      </w:pPr>
      <w:r>
        <w:rPr>
          <w:rStyle w:val="38"/>
          <w:rFonts w:ascii="Times New Roman" w:hAnsi="Times New Roman" w:eastAsia="宋体"/>
          <w:b w:val="0"/>
        </w:rPr>
        <w:t>校准结果内容结束</w:t>
      </w:r>
    </w:p>
    <w:p w14:paraId="5296AA2A"/>
    <w:p w14:paraId="790AE73E">
      <w:pPr>
        <w:pStyle w:val="62"/>
      </w:pPr>
      <w:bookmarkStart w:id="208" w:name="_Toc21768"/>
      <w:bookmarkStart w:id="209" w:name="OLE_LINK324"/>
      <w:bookmarkStart w:id="210" w:name="OLE_LINK323"/>
      <w:r>
        <w:rPr>
          <w:rFonts w:hint="eastAsia"/>
        </w:rPr>
        <w:t>附录F</w:t>
      </w:r>
      <w:bookmarkEnd w:id="208"/>
    </w:p>
    <w:bookmarkEnd w:id="209"/>
    <w:bookmarkEnd w:id="210"/>
    <w:p w14:paraId="32563B7F">
      <w:pPr>
        <w:pStyle w:val="62"/>
        <w:jc w:val="center"/>
        <w:rPr>
          <w:rFonts w:ascii="Times New Roman"/>
        </w:rPr>
      </w:pPr>
      <w:bookmarkStart w:id="211" w:name="_Toc13208"/>
      <w:r>
        <w:rPr>
          <w:rFonts w:hint="eastAsia" w:ascii="Times New Roman"/>
        </w:rPr>
        <w:t>称重物料罐分步替代法校准证书内页格式（增量）（示例）</w:t>
      </w:r>
      <w:bookmarkEnd w:id="211"/>
    </w:p>
    <w:p w14:paraId="31354849">
      <w:pPr>
        <w:spacing w:before="156" w:beforeLines="50" w:after="156" w:afterLines="50"/>
        <w:ind w:left="0"/>
        <w:jc w:val="center"/>
        <w:rPr>
          <w:rFonts w:hint="eastAsia" w:ascii="黑体" w:hAnsi="黑体" w:eastAsia="黑体" w:cs="黑体"/>
        </w:rPr>
      </w:pPr>
      <w:r>
        <w:rPr>
          <w:rFonts w:hint="eastAsia" w:ascii="黑体" w:hAnsi="黑体" w:eastAsia="黑体" w:cs="黑体"/>
        </w:rPr>
        <w:t>校准结果</w:t>
      </w:r>
    </w:p>
    <w:p w14:paraId="6422E77E">
      <w:pPr>
        <w:pStyle w:val="10"/>
        <w:spacing w:line="360" w:lineRule="auto"/>
        <w:ind w:right="1126"/>
        <w:rPr>
          <w:rFonts w:ascii="Times New Roman" w:hAnsi="Times New Roman"/>
          <w:szCs w:val="24"/>
        </w:rPr>
      </w:pPr>
      <w:r>
        <w:rPr>
          <w:rFonts w:hint="eastAsia" w:ascii="Times New Roman" w:hAnsi="Times New Roman"/>
          <w:iCs/>
          <w:szCs w:val="24"/>
        </w:rPr>
        <w:t>Max</w:t>
      </w:r>
      <w:r>
        <w:rPr>
          <w:rFonts w:hint="eastAsia" w:ascii="Times New Roman" w:hAnsi="Times New Roman"/>
          <w:szCs w:val="24"/>
        </w:rPr>
        <w:t xml:space="preserve">=            </w:t>
      </w:r>
      <w:r>
        <w:rPr>
          <w:rFonts w:hint="eastAsia" w:ascii="Times New Roman" w:hAnsi="Times New Roman"/>
          <w:i/>
          <w:szCs w:val="24"/>
        </w:rPr>
        <w:t>d</w:t>
      </w:r>
      <w:r>
        <w:rPr>
          <w:rFonts w:hint="eastAsia" w:ascii="Times New Roman" w:hAnsi="Times New Roman"/>
          <w:szCs w:val="24"/>
        </w:rPr>
        <w:t>=          标准载荷单元=</w:t>
      </w:r>
    </w:p>
    <w:tbl>
      <w:tblPr>
        <w:tblStyle w:val="21"/>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32"/>
        <w:gridCol w:w="1279"/>
        <w:gridCol w:w="1959"/>
        <w:gridCol w:w="1897"/>
        <w:gridCol w:w="1857"/>
      </w:tblGrid>
      <w:tr w14:paraId="04817E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67" w:type="pct"/>
            <w:vAlign w:val="center"/>
          </w:tcPr>
          <w:p w14:paraId="2A17B7D9">
            <w:pPr>
              <w:widowControl w:val="0"/>
              <w:ind w:left="0"/>
              <w:jc w:val="center"/>
            </w:pPr>
            <w:bookmarkStart w:id="212" w:name="_Hlk196662617"/>
            <w:r>
              <w:rPr>
                <w:rFonts w:hint="eastAsia"/>
              </w:rPr>
              <w:t>校准项目</w:t>
            </w:r>
          </w:p>
        </w:tc>
        <w:tc>
          <w:tcPr>
            <w:tcW w:w="664" w:type="pct"/>
            <w:vAlign w:val="center"/>
          </w:tcPr>
          <w:p w14:paraId="6AF4C8F6">
            <w:pPr>
              <w:widowControl w:val="0"/>
              <w:ind w:left="0"/>
              <w:jc w:val="center"/>
            </w:pPr>
            <w:bookmarkStart w:id="213" w:name="OLE_LINK76"/>
            <w:bookmarkStart w:id="214" w:name="_Hlk196331636"/>
            <w:r>
              <w:rPr>
                <w:rFonts w:hint="eastAsia"/>
              </w:rPr>
              <w:t>载荷示值</w:t>
            </w:r>
            <w:bookmarkEnd w:id="213"/>
            <w:r>
              <w:rPr>
                <w:rFonts w:hint="eastAsia"/>
                <w:i/>
              </w:rPr>
              <w:t>I</w:t>
            </w:r>
            <w:r>
              <w:rPr>
                <w:rFonts w:hint="eastAsia"/>
              </w:rPr>
              <w:t>（   ）</w:t>
            </w:r>
          </w:p>
        </w:tc>
        <w:tc>
          <w:tcPr>
            <w:tcW w:w="1017" w:type="pct"/>
            <w:vAlign w:val="center"/>
          </w:tcPr>
          <w:p w14:paraId="4BCE69FF">
            <w:pPr>
              <w:widowControl w:val="0"/>
              <w:ind w:left="0"/>
              <w:jc w:val="center"/>
              <w:rPr>
                <w:bCs/>
              </w:rPr>
            </w:pPr>
            <w:bookmarkStart w:id="215" w:name="OLE_LINK94"/>
            <w:bookmarkStart w:id="216" w:name="OLE_LINK91"/>
            <w:bookmarkStart w:id="217" w:name="OLE_LINK77"/>
            <w:r>
              <w:rPr>
                <w:rFonts w:hint="eastAsia"/>
                <w:bCs/>
              </w:rPr>
              <w:t>加载载荷单元</w:t>
            </w:r>
            <w:bookmarkEnd w:id="215"/>
            <w:bookmarkEnd w:id="216"/>
          </w:p>
          <w:p w14:paraId="48C53361">
            <w:pPr>
              <w:widowControl w:val="0"/>
              <w:ind w:left="0"/>
              <w:jc w:val="center"/>
            </w:pPr>
            <w:r>
              <w:rPr>
                <w:rFonts w:hint="eastAsia"/>
              </w:rPr>
              <w:t>示值</w:t>
            </w:r>
            <w:r>
              <w:rPr>
                <w:rFonts w:hint="eastAsia"/>
                <w:i/>
              </w:rPr>
              <w:t>I</w:t>
            </w:r>
            <w:bookmarkEnd w:id="217"/>
            <w:r>
              <w:rPr>
                <w:rFonts w:hint="eastAsia"/>
              </w:rPr>
              <w:t>（   ）</w:t>
            </w:r>
          </w:p>
        </w:tc>
        <w:tc>
          <w:tcPr>
            <w:tcW w:w="985" w:type="pct"/>
            <w:vAlign w:val="center"/>
          </w:tcPr>
          <w:p w14:paraId="5050DE9D">
            <w:pPr>
              <w:widowControl w:val="0"/>
              <w:ind w:left="0"/>
              <w:jc w:val="center"/>
            </w:pPr>
            <w:r>
              <w:rPr>
                <w:rFonts w:hint="eastAsia"/>
              </w:rPr>
              <w:t>增量示值误差</w:t>
            </w:r>
            <w:r>
              <w:rPr>
                <w:rFonts w:hint="eastAsia"/>
                <w:i/>
              </w:rPr>
              <w:t>E</w:t>
            </w:r>
            <w:r>
              <w:rPr>
                <w:rFonts w:hint="eastAsia"/>
              </w:rPr>
              <w:t>（    ）</w:t>
            </w:r>
          </w:p>
        </w:tc>
        <w:tc>
          <w:tcPr>
            <w:tcW w:w="964" w:type="pct"/>
            <w:vAlign w:val="center"/>
          </w:tcPr>
          <w:p w14:paraId="497906B9">
            <w:pPr>
              <w:widowControl w:val="0"/>
              <w:ind w:left="0"/>
              <w:jc w:val="center"/>
            </w:pPr>
            <w:bookmarkStart w:id="218" w:name="OLE_LINK79"/>
            <w:bookmarkStart w:id="219" w:name="OLE_LINK78"/>
            <w:r>
              <w:rPr>
                <w:rFonts w:hint="eastAsia"/>
              </w:rPr>
              <w:t>扩展不确定度</w:t>
            </w:r>
            <w:r>
              <w:rPr>
                <w:rFonts w:hint="eastAsia"/>
                <w:i/>
              </w:rPr>
              <w:t>U</w:t>
            </w:r>
            <w:r>
              <w:rPr>
                <w:rFonts w:hint="eastAsia"/>
              </w:rPr>
              <w:t>（</w:t>
            </w:r>
            <w:r>
              <w:rPr>
                <w:rFonts w:hint="eastAsia"/>
                <w:i/>
              </w:rPr>
              <w:t>k</w:t>
            </w:r>
            <w:r>
              <w:rPr>
                <w:rFonts w:hint="eastAsia"/>
              </w:rPr>
              <w:t>=2）</w:t>
            </w:r>
            <w:bookmarkEnd w:id="218"/>
            <w:bookmarkEnd w:id="219"/>
          </w:p>
          <w:p w14:paraId="4303D14E">
            <w:pPr>
              <w:widowControl w:val="0"/>
              <w:ind w:left="0"/>
              <w:jc w:val="center"/>
            </w:pPr>
            <w:r>
              <w:rPr>
                <w:rFonts w:hint="eastAsia"/>
              </w:rPr>
              <w:t>（    ）</w:t>
            </w:r>
          </w:p>
        </w:tc>
      </w:tr>
      <w:bookmarkEnd w:id="212"/>
      <w:tr w14:paraId="17679B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1367" w:type="pct"/>
            <w:vAlign w:val="center"/>
          </w:tcPr>
          <w:p w14:paraId="76F0BD91">
            <w:pPr>
              <w:widowControl w:val="0"/>
              <w:ind w:left="0"/>
              <w:jc w:val="center"/>
            </w:pPr>
            <w:r>
              <w:rPr>
                <w:rFonts w:hint="eastAsia"/>
              </w:rPr>
              <w:t>重复性</w:t>
            </w:r>
          </w:p>
          <w:bookmarkEnd w:id="214"/>
        </w:tc>
        <w:tc>
          <w:tcPr>
            <w:tcW w:w="664" w:type="pct"/>
            <w:vAlign w:val="center"/>
          </w:tcPr>
          <w:p w14:paraId="0CA55CD7">
            <w:pPr>
              <w:widowControl w:val="0"/>
              <w:ind w:left="0"/>
              <w:jc w:val="center"/>
            </w:pPr>
          </w:p>
        </w:tc>
        <w:tc>
          <w:tcPr>
            <w:tcW w:w="1017" w:type="pct"/>
            <w:vAlign w:val="center"/>
          </w:tcPr>
          <w:p w14:paraId="3EE74CA4">
            <w:pPr>
              <w:widowControl w:val="0"/>
              <w:ind w:left="0"/>
              <w:jc w:val="center"/>
            </w:pPr>
          </w:p>
        </w:tc>
        <w:tc>
          <w:tcPr>
            <w:tcW w:w="985" w:type="pct"/>
            <w:vAlign w:val="center"/>
          </w:tcPr>
          <w:p w14:paraId="4A7413AF">
            <w:pPr>
              <w:widowControl w:val="0"/>
              <w:ind w:left="0"/>
              <w:jc w:val="center"/>
            </w:pPr>
          </w:p>
        </w:tc>
        <w:tc>
          <w:tcPr>
            <w:tcW w:w="964" w:type="pct"/>
            <w:vAlign w:val="center"/>
          </w:tcPr>
          <w:p w14:paraId="6223EDD3">
            <w:pPr>
              <w:widowControl w:val="0"/>
              <w:ind w:left="0"/>
              <w:jc w:val="center"/>
            </w:pPr>
          </w:p>
        </w:tc>
      </w:tr>
      <w:tr w14:paraId="6DE0F3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1367" w:type="pct"/>
            <w:vAlign w:val="center"/>
          </w:tcPr>
          <w:p w14:paraId="7CD4EE77">
            <w:pPr>
              <w:widowControl w:val="0"/>
              <w:ind w:left="0"/>
              <w:jc w:val="center"/>
            </w:pPr>
            <w:r>
              <w:rPr>
                <w:rFonts w:cs="Courier New"/>
                <w:shd w:val="clear" w:color="auto" w:fill="FFFFFF"/>
              </w:rPr>
              <w:t>同</w:t>
            </w:r>
            <w:r>
              <w:rPr>
                <w:rFonts w:cs="Arial"/>
                <w:shd w:val="clear" w:color="auto" w:fill="FFFFFF"/>
              </w:rPr>
              <w:t>一载荷在不</w:t>
            </w:r>
            <w:r>
              <w:rPr>
                <w:rFonts w:cs="Courier New"/>
                <w:shd w:val="clear" w:color="auto" w:fill="FFFFFF"/>
              </w:rPr>
              <w:t>同</w:t>
            </w:r>
            <w:r>
              <w:rPr>
                <w:rFonts w:cs="Arial"/>
                <w:shd w:val="clear" w:color="auto" w:fill="FFFFFF"/>
              </w:rPr>
              <w:t>位置的示值误差（</w:t>
            </w:r>
            <w:r>
              <w:rPr>
                <w:rFonts w:cs="Courier New"/>
                <w:shd w:val="clear" w:color="auto" w:fill="FFFFFF"/>
              </w:rPr>
              <w:t>若</w:t>
            </w:r>
            <w:r>
              <w:rPr>
                <w:rFonts w:cs="Arial"/>
                <w:shd w:val="clear" w:color="auto" w:fill="FFFFFF"/>
              </w:rPr>
              <w:t>适用）</w:t>
            </w:r>
          </w:p>
        </w:tc>
        <w:tc>
          <w:tcPr>
            <w:tcW w:w="664" w:type="pct"/>
            <w:vAlign w:val="center"/>
          </w:tcPr>
          <w:p w14:paraId="0FCD4D9C">
            <w:pPr>
              <w:widowControl w:val="0"/>
              <w:ind w:left="0"/>
              <w:jc w:val="center"/>
            </w:pPr>
          </w:p>
        </w:tc>
        <w:tc>
          <w:tcPr>
            <w:tcW w:w="1017" w:type="pct"/>
            <w:vAlign w:val="center"/>
          </w:tcPr>
          <w:p w14:paraId="52270F3F">
            <w:pPr>
              <w:widowControl w:val="0"/>
              <w:ind w:left="0"/>
              <w:jc w:val="center"/>
            </w:pPr>
          </w:p>
        </w:tc>
        <w:tc>
          <w:tcPr>
            <w:tcW w:w="985" w:type="pct"/>
            <w:vAlign w:val="center"/>
          </w:tcPr>
          <w:p w14:paraId="3F80B8DB">
            <w:pPr>
              <w:widowControl w:val="0"/>
              <w:ind w:left="0"/>
              <w:jc w:val="center"/>
            </w:pPr>
          </w:p>
        </w:tc>
        <w:tc>
          <w:tcPr>
            <w:tcW w:w="964" w:type="pct"/>
            <w:vAlign w:val="center"/>
          </w:tcPr>
          <w:p w14:paraId="484082A6">
            <w:pPr>
              <w:widowControl w:val="0"/>
              <w:ind w:left="0"/>
              <w:jc w:val="center"/>
            </w:pPr>
          </w:p>
        </w:tc>
      </w:tr>
      <w:tr w14:paraId="50CE64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1367" w:type="pct"/>
            <w:vMerge w:val="restart"/>
            <w:vAlign w:val="center"/>
          </w:tcPr>
          <w:p w14:paraId="69D7E30D">
            <w:pPr>
              <w:widowControl w:val="0"/>
              <w:ind w:left="0"/>
              <w:jc w:val="center"/>
            </w:pPr>
            <w:r>
              <w:rPr>
                <w:rFonts w:hint="eastAsia"/>
              </w:rPr>
              <w:t>示值误差</w:t>
            </w:r>
          </w:p>
        </w:tc>
        <w:tc>
          <w:tcPr>
            <w:tcW w:w="664" w:type="pct"/>
            <w:vAlign w:val="center"/>
          </w:tcPr>
          <w:p w14:paraId="1A2E5AA4">
            <w:pPr>
              <w:widowControl w:val="0"/>
              <w:ind w:left="0"/>
              <w:jc w:val="center"/>
            </w:pPr>
          </w:p>
        </w:tc>
        <w:tc>
          <w:tcPr>
            <w:tcW w:w="1017" w:type="pct"/>
            <w:vAlign w:val="center"/>
          </w:tcPr>
          <w:p w14:paraId="7F581526">
            <w:pPr>
              <w:widowControl w:val="0"/>
              <w:ind w:left="0"/>
              <w:jc w:val="center"/>
            </w:pPr>
          </w:p>
        </w:tc>
        <w:tc>
          <w:tcPr>
            <w:tcW w:w="985" w:type="pct"/>
            <w:vAlign w:val="center"/>
          </w:tcPr>
          <w:p w14:paraId="71304F42">
            <w:pPr>
              <w:widowControl w:val="0"/>
              <w:ind w:left="0"/>
              <w:jc w:val="center"/>
            </w:pPr>
          </w:p>
        </w:tc>
        <w:tc>
          <w:tcPr>
            <w:tcW w:w="964" w:type="pct"/>
            <w:vAlign w:val="center"/>
          </w:tcPr>
          <w:p w14:paraId="655D8BF0">
            <w:pPr>
              <w:widowControl w:val="0"/>
              <w:ind w:left="0"/>
              <w:jc w:val="center"/>
            </w:pPr>
          </w:p>
        </w:tc>
      </w:tr>
      <w:tr w14:paraId="012D13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1367" w:type="pct"/>
            <w:vMerge w:val="continue"/>
          </w:tcPr>
          <w:p w14:paraId="19000A44">
            <w:pPr>
              <w:widowControl w:val="0"/>
              <w:ind w:left="0"/>
              <w:jc w:val="center"/>
            </w:pPr>
          </w:p>
        </w:tc>
        <w:tc>
          <w:tcPr>
            <w:tcW w:w="664" w:type="pct"/>
            <w:vAlign w:val="center"/>
          </w:tcPr>
          <w:p w14:paraId="31968AFA">
            <w:pPr>
              <w:widowControl w:val="0"/>
              <w:ind w:left="0"/>
              <w:jc w:val="center"/>
            </w:pPr>
          </w:p>
        </w:tc>
        <w:tc>
          <w:tcPr>
            <w:tcW w:w="1017" w:type="pct"/>
            <w:vAlign w:val="center"/>
          </w:tcPr>
          <w:p w14:paraId="775E5C1A">
            <w:pPr>
              <w:widowControl w:val="0"/>
              <w:ind w:left="0"/>
              <w:jc w:val="center"/>
            </w:pPr>
          </w:p>
        </w:tc>
        <w:tc>
          <w:tcPr>
            <w:tcW w:w="985" w:type="pct"/>
            <w:vAlign w:val="center"/>
          </w:tcPr>
          <w:p w14:paraId="7A0055FE">
            <w:pPr>
              <w:widowControl w:val="0"/>
              <w:ind w:left="0"/>
              <w:jc w:val="center"/>
            </w:pPr>
          </w:p>
        </w:tc>
        <w:tc>
          <w:tcPr>
            <w:tcW w:w="964" w:type="pct"/>
            <w:vAlign w:val="center"/>
          </w:tcPr>
          <w:p w14:paraId="79EFD78C">
            <w:pPr>
              <w:widowControl w:val="0"/>
              <w:ind w:left="0"/>
              <w:jc w:val="center"/>
            </w:pPr>
          </w:p>
        </w:tc>
      </w:tr>
      <w:tr w14:paraId="760ADD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1367" w:type="pct"/>
            <w:vMerge w:val="continue"/>
          </w:tcPr>
          <w:p w14:paraId="395DF971">
            <w:pPr>
              <w:widowControl w:val="0"/>
              <w:ind w:left="0"/>
              <w:jc w:val="center"/>
            </w:pPr>
          </w:p>
        </w:tc>
        <w:tc>
          <w:tcPr>
            <w:tcW w:w="664" w:type="pct"/>
            <w:vAlign w:val="center"/>
          </w:tcPr>
          <w:p w14:paraId="65372696">
            <w:pPr>
              <w:widowControl w:val="0"/>
              <w:ind w:left="0"/>
              <w:jc w:val="center"/>
            </w:pPr>
          </w:p>
        </w:tc>
        <w:tc>
          <w:tcPr>
            <w:tcW w:w="1017" w:type="pct"/>
            <w:vAlign w:val="center"/>
          </w:tcPr>
          <w:p w14:paraId="0FD03930">
            <w:pPr>
              <w:widowControl w:val="0"/>
              <w:ind w:left="0"/>
              <w:jc w:val="center"/>
            </w:pPr>
          </w:p>
        </w:tc>
        <w:tc>
          <w:tcPr>
            <w:tcW w:w="985" w:type="pct"/>
            <w:vAlign w:val="center"/>
          </w:tcPr>
          <w:p w14:paraId="422EA11B">
            <w:pPr>
              <w:widowControl w:val="0"/>
              <w:ind w:left="0"/>
              <w:jc w:val="center"/>
            </w:pPr>
          </w:p>
        </w:tc>
        <w:tc>
          <w:tcPr>
            <w:tcW w:w="964" w:type="pct"/>
            <w:vAlign w:val="center"/>
          </w:tcPr>
          <w:p w14:paraId="11E76B44">
            <w:pPr>
              <w:widowControl w:val="0"/>
              <w:ind w:left="0"/>
              <w:jc w:val="center"/>
            </w:pPr>
          </w:p>
        </w:tc>
      </w:tr>
      <w:tr w14:paraId="5A672D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1367" w:type="pct"/>
            <w:vMerge w:val="continue"/>
          </w:tcPr>
          <w:p w14:paraId="19D120A4">
            <w:pPr>
              <w:widowControl w:val="0"/>
              <w:ind w:left="0"/>
              <w:jc w:val="center"/>
            </w:pPr>
          </w:p>
        </w:tc>
        <w:tc>
          <w:tcPr>
            <w:tcW w:w="664" w:type="pct"/>
            <w:vAlign w:val="center"/>
          </w:tcPr>
          <w:p w14:paraId="06DDE02A">
            <w:pPr>
              <w:widowControl w:val="0"/>
              <w:ind w:left="0"/>
              <w:jc w:val="center"/>
            </w:pPr>
          </w:p>
        </w:tc>
        <w:tc>
          <w:tcPr>
            <w:tcW w:w="1017" w:type="pct"/>
            <w:vAlign w:val="center"/>
          </w:tcPr>
          <w:p w14:paraId="08ED61A9">
            <w:pPr>
              <w:widowControl w:val="0"/>
              <w:ind w:left="0"/>
              <w:jc w:val="center"/>
            </w:pPr>
          </w:p>
        </w:tc>
        <w:tc>
          <w:tcPr>
            <w:tcW w:w="985" w:type="pct"/>
            <w:vAlign w:val="center"/>
          </w:tcPr>
          <w:p w14:paraId="15C83EEE">
            <w:pPr>
              <w:widowControl w:val="0"/>
              <w:ind w:left="0"/>
              <w:jc w:val="center"/>
            </w:pPr>
          </w:p>
        </w:tc>
        <w:tc>
          <w:tcPr>
            <w:tcW w:w="964" w:type="pct"/>
            <w:vAlign w:val="center"/>
          </w:tcPr>
          <w:p w14:paraId="3E22DC38">
            <w:pPr>
              <w:widowControl w:val="0"/>
              <w:ind w:left="0"/>
              <w:jc w:val="center"/>
            </w:pPr>
          </w:p>
        </w:tc>
      </w:tr>
      <w:tr w14:paraId="6BD55D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1367" w:type="pct"/>
            <w:vMerge w:val="continue"/>
          </w:tcPr>
          <w:p w14:paraId="433D1993">
            <w:pPr>
              <w:widowControl w:val="0"/>
              <w:ind w:left="0"/>
              <w:jc w:val="center"/>
            </w:pPr>
          </w:p>
        </w:tc>
        <w:tc>
          <w:tcPr>
            <w:tcW w:w="664" w:type="pct"/>
          </w:tcPr>
          <w:p w14:paraId="1A0AEA68">
            <w:pPr>
              <w:widowControl w:val="0"/>
              <w:ind w:left="0"/>
              <w:jc w:val="center"/>
            </w:pPr>
          </w:p>
        </w:tc>
        <w:tc>
          <w:tcPr>
            <w:tcW w:w="1017" w:type="pct"/>
            <w:vAlign w:val="center"/>
          </w:tcPr>
          <w:p w14:paraId="2FCF4EA1">
            <w:pPr>
              <w:widowControl w:val="0"/>
              <w:ind w:left="0"/>
              <w:jc w:val="center"/>
            </w:pPr>
          </w:p>
        </w:tc>
        <w:tc>
          <w:tcPr>
            <w:tcW w:w="985" w:type="pct"/>
            <w:vAlign w:val="center"/>
          </w:tcPr>
          <w:p w14:paraId="3F084ED4">
            <w:pPr>
              <w:widowControl w:val="0"/>
              <w:ind w:left="0"/>
              <w:jc w:val="center"/>
            </w:pPr>
          </w:p>
        </w:tc>
        <w:tc>
          <w:tcPr>
            <w:tcW w:w="964" w:type="pct"/>
            <w:vAlign w:val="center"/>
          </w:tcPr>
          <w:p w14:paraId="3CC4FAC6">
            <w:pPr>
              <w:widowControl w:val="0"/>
              <w:ind w:left="0"/>
              <w:jc w:val="center"/>
            </w:pPr>
          </w:p>
        </w:tc>
      </w:tr>
      <w:tr w14:paraId="3990EF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1367" w:type="pct"/>
            <w:vMerge w:val="continue"/>
          </w:tcPr>
          <w:p w14:paraId="735E292F">
            <w:pPr>
              <w:widowControl w:val="0"/>
              <w:ind w:left="0"/>
              <w:jc w:val="center"/>
            </w:pPr>
          </w:p>
        </w:tc>
        <w:tc>
          <w:tcPr>
            <w:tcW w:w="664" w:type="pct"/>
          </w:tcPr>
          <w:p w14:paraId="7E5EDBE4">
            <w:pPr>
              <w:widowControl w:val="0"/>
              <w:ind w:left="0"/>
              <w:jc w:val="center"/>
            </w:pPr>
          </w:p>
        </w:tc>
        <w:tc>
          <w:tcPr>
            <w:tcW w:w="1017" w:type="pct"/>
            <w:vAlign w:val="center"/>
          </w:tcPr>
          <w:p w14:paraId="1826C8B8">
            <w:pPr>
              <w:widowControl w:val="0"/>
              <w:ind w:left="0"/>
              <w:jc w:val="center"/>
            </w:pPr>
          </w:p>
        </w:tc>
        <w:tc>
          <w:tcPr>
            <w:tcW w:w="985" w:type="pct"/>
            <w:vAlign w:val="center"/>
          </w:tcPr>
          <w:p w14:paraId="22EEFD4F">
            <w:pPr>
              <w:widowControl w:val="0"/>
              <w:ind w:left="0"/>
              <w:jc w:val="center"/>
            </w:pPr>
          </w:p>
        </w:tc>
        <w:tc>
          <w:tcPr>
            <w:tcW w:w="964" w:type="pct"/>
            <w:vAlign w:val="center"/>
          </w:tcPr>
          <w:p w14:paraId="45787799">
            <w:pPr>
              <w:widowControl w:val="0"/>
              <w:ind w:left="0"/>
              <w:jc w:val="center"/>
            </w:pPr>
          </w:p>
        </w:tc>
      </w:tr>
      <w:tr w14:paraId="50795D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1367" w:type="pct"/>
            <w:vMerge w:val="continue"/>
          </w:tcPr>
          <w:p w14:paraId="083C9BC2">
            <w:pPr>
              <w:widowControl w:val="0"/>
              <w:ind w:left="0"/>
              <w:jc w:val="center"/>
            </w:pPr>
          </w:p>
        </w:tc>
        <w:tc>
          <w:tcPr>
            <w:tcW w:w="664" w:type="pct"/>
          </w:tcPr>
          <w:p w14:paraId="18301F72">
            <w:pPr>
              <w:widowControl w:val="0"/>
              <w:ind w:left="0"/>
              <w:jc w:val="center"/>
            </w:pPr>
          </w:p>
        </w:tc>
        <w:tc>
          <w:tcPr>
            <w:tcW w:w="1017" w:type="pct"/>
            <w:vAlign w:val="center"/>
          </w:tcPr>
          <w:p w14:paraId="09331436">
            <w:pPr>
              <w:widowControl w:val="0"/>
              <w:ind w:left="0"/>
              <w:jc w:val="center"/>
            </w:pPr>
          </w:p>
        </w:tc>
        <w:tc>
          <w:tcPr>
            <w:tcW w:w="985" w:type="pct"/>
            <w:vAlign w:val="center"/>
          </w:tcPr>
          <w:p w14:paraId="079B0D26">
            <w:pPr>
              <w:widowControl w:val="0"/>
              <w:ind w:left="0"/>
              <w:jc w:val="center"/>
            </w:pPr>
          </w:p>
        </w:tc>
        <w:tc>
          <w:tcPr>
            <w:tcW w:w="964" w:type="pct"/>
            <w:vAlign w:val="center"/>
          </w:tcPr>
          <w:p w14:paraId="625420C0">
            <w:pPr>
              <w:widowControl w:val="0"/>
              <w:ind w:left="0"/>
              <w:jc w:val="center"/>
            </w:pPr>
          </w:p>
        </w:tc>
      </w:tr>
      <w:tr w14:paraId="39342B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1367" w:type="pct"/>
            <w:vMerge w:val="continue"/>
          </w:tcPr>
          <w:p w14:paraId="5B0721CC">
            <w:pPr>
              <w:widowControl w:val="0"/>
              <w:ind w:left="0"/>
              <w:jc w:val="center"/>
            </w:pPr>
          </w:p>
        </w:tc>
        <w:tc>
          <w:tcPr>
            <w:tcW w:w="664" w:type="pct"/>
          </w:tcPr>
          <w:p w14:paraId="3BA869B3">
            <w:pPr>
              <w:widowControl w:val="0"/>
              <w:ind w:left="0"/>
              <w:jc w:val="center"/>
            </w:pPr>
          </w:p>
        </w:tc>
        <w:tc>
          <w:tcPr>
            <w:tcW w:w="1017" w:type="pct"/>
            <w:vAlign w:val="center"/>
          </w:tcPr>
          <w:p w14:paraId="46EBC2A8">
            <w:pPr>
              <w:widowControl w:val="0"/>
              <w:ind w:left="0"/>
              <w:jc w:val="center"/>
            </w:pPr>
          </w:p>
        </w:tc>
        <w:tc>
          <w:tcPr>
            <w:tcW w:w="985" w:type="pct"/>
            <w:vAlign w:val="center"/>
          </w:tcPr>
          <w:p w14:paraId="5D977D92">
            <w:pPr>
              <w:widowControl w:val="0"/>
              <w:ind w:left="0"/>
              <w:jc w:val="center"/>
            </w:pPr>
          </w:p>
        </w:tc>
        <w:tc>
          <w:tcPr>
            <w:tcW w:w="964" w:type="pct"/>
            <w:vAlign w:val="center"/>
          </w:tcPr>
          <w:p w14:paraId="17B94260">
            <w:pPr>
              <w:widowControl w:val="0"/>
              <w:ind w:left="0"/>
              <w:jc w:val="center"/>
            </w:pPr>
          </w:p>
        </w:tc>
      </w:tr>
      <w:tr w14:paraId="3D9E79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1367" w:type="pct"/>
            <w:vMerge w:val="continue"/>
          </w:tcPr>
          <w:p w14:paraId="21802F09">
            <w:pPr>
              <w:widowControl w:val="0"/>
              <w:ind w:left="0"/>
              <w:jc w:val="center"/>
            </w:pPr>
          </w:p>
        </w:tc>
        <w:tc>
          <w:tcPr>
            <w:tcW w:w="664" w:type="pct"/>
          </w:tcPr>
          <w:p w14:paraId="4D993985">
            <w:pPr>
              <w:widowControl w:val="0"/>
              <w:ind w:left="0"/>
              <w:jc w:val="center"/>
            </w:pPr>
          </w:p>
        </w:tc>
        <w:tc>
          <w:tcPr>
            <w:tcW w:w="1017" w:type="pct"/>
            <w:vAlign w:val="center"/>
          </w:tcPr>
          <w:p w14:paraId="0A408793">
            <w:pPr>
              <w:widowControl w:val="0"/>
              <w:ind w:left="0"/>
              <w:jc w:val="center"/>
            </w:pPr>
          </w:p>
        </w:tc>
        <w:tc>
          <w:tcPr>
            <w:tcW w:w="985" w:type="pct"/>
            <w:vAlign w:val="center"/>
          </w:tcPr>
          <w:p w14:paraId="689DC73A">
            <w:pPr>
              <w:widowControl w:val="0"/>
              <w:ind w:left="0"/>
              <w:jc w:val="center"/>
            </w:pPr>
          </w:p>
        </w:tc>
        <w:tc>
          <w:tcPr>
            <w:tcW w:w="964" w:type="pct"/>
            <w:vAlign w:val="center"/>
          </w:tcPr>
          <w:p w14:paraId="07F0D816">
            <w:pPr>
              <w:widowControl w:val="0"/>
              <w:ind w:left="0"/>
              <w:jc w:val="center"/>
            </w:pPr>
          </w:p>
        </w:tc>
      </w:tr>
    </w:tbl>
    <w:p w14:paraId="03AA84A6"/>
    <w:p w14:paraId="3FAF8708">
      <w:r>
        <w:rPr>
          <w:rFonts w:hint="eastAsia"/>
        </w:rPr>
        <w:t>校准环境条件及地点：</w:t>
      </w:r>
    </w:p>
    <w:p w14:paraId="4BDC169F"/>
    <w:p w14:paraId="555CADFF">
      <w:r>
        <w:rPr>
          <w:rFonts w:hint="eastAsia"/>
        </w:rPr>
        <w:t>温度：                湿度：                地点：               其他：</w:t>
      </w:r>
    </w:p>
    <w:p w14:paraId="5F8C007A"/>
    <w:p w14:paraId="18FB374B">
      <w:pPr>
        <w:jc w:val="center"/>
        <w:rPr>
          <w:rStyle w:val="38"/>
          <w:rFonts w:ascii="Times New Roman" w:hAnsi="Times New Roman" w:eastAsia="宋体"/>
          <w:b w:val="0"/>
        </w:rPr>
      </w:pPr>
      <w:r>
        <w:rPr>
          <w:rStyle w:val="38"/>
          <w:rFonts w:ascii="Times New Roman" w:hAnsi="Times New Roman" w:eastAsia="宋体"/>
          <w:b w:val="0"/>
        </w:rPr>
        <w:t>校准结果内容结束</w:t>
      </w:r>
    </w:p>
    <w:p w14:paraId="7884EC18">
      <w:pPr>
        <w:pStyle w:val="62"/>
      </w:pPr>
      <w:r>
        <w:rPr>
          <w:rStyle w:val="38"/>
          <w:rFonts w:ascii="Times New Roman" w:hAnsi="Times New Roman" w:eastAsia="宋体"/>
          <w:b w:val="0"/>
          <w:bCs w:val="0"/>
        </w:rPr>
        <w:br w:type="page"/>
      </w:r>
      <w:bookmarkStart w:id="220" w:name="_Toc8529"/>
      <w:r>
        <w:rPr>
          <w:rFonts w:hint="eastAsia"/>
        </w:rPr>
        <w:t>附录G</w:t>
      </w:r>
      <w:bookmarkEnd w:id="220"/>
    </w:p>
    <w:p w14:paraId="1E62493C">
      <w:pPr>
        <w:pStyle w:val="62"/>
        <w:jc w:val="center"/>
        <w:rPr>
          <w:rFonts w:ascii="Times New Roman"/>
        </w:rPr>
      </w:pPr>
      <w:bookmarkStart w:id="221" w:name="OLE_LINK330"/>
      <w:bookmarkStart w:id="222" w:name="OLE_LINK331"/>
      <w:bookmarkStart w:id="223" w:name="_Toc20888"/>
      <w:r>
        <w:rPr>
          <w:rFonts w:hint="eastAsia" w:ascii="Times New Roman"/>
        </w:rPr>
        <w:t>标准载荷加载系统</w:t>
      </w:r>
      <w:bookmarkEnd w:id="221"/>
      <w:bookmarkEnd w:id="222"/>
      <w:r>
        <w:rPr>
          <w:rFonts w:hint="eastAsia" w:ascii="Times New Roman"/>
        </w:rPr>
        <w:t>结构图</w:t>
      </w:r>
      <w:bookmarkEnd w:id="223"/>
    </w:p>
    <w:p w14:paraId="3BA047A8">
      <w:pPr>
        <w:ind w:left="199" w:leftChars="83" w:firstLine="480" w:firstLineChars="200"/>
      </w:pPr>
      <w:bookmarkStart w:id="224" w:name="OLE_LINK338"/>
      <w:r>
        <w:rPr>
          <w:rFonts w:hint="eastAsia" w:cs="Arial"/>
          <w:bCs/>
        </w:rPr>
        <w:t>标准载荷加载</w:t>
      </w:r>
      <w:bookmarkEnd w:id="224"/>
      <w:r>
        <w:rPr>
          <w:rFonts w:hint="eastAsia" w:cs="Arial"/>
          <w:bCs/>
        </w:rPr>
        <w:t>系统</w:t>
      </w:r>
      <w:r>
        <w:t>由</w:t>
      </w:r>
      <w:bookmarkStart w:id="225" w:name="OLE_LINK334"/>
      <w:r>
        <w:rPr>
          <w:rFonts w:hint="eastAsia"/>
        </w:rPr>
        <w:t>标准载荷加载单元</w:t>
      </w:r>
      <w:bookmarkEnd w:id="225"/>
      <w:r>
        <w:rPr>
          <w:rFonts w:hint="eastAsia"/>
        </w:rPr>
        <w:t>、绷带、数据采集器、摄像头、手提电脑构成的用于称重物料罐校准的装置。所述的标准载荷加载单元</w:t>
      </w:r>
      <w:bookmarkStart w:id="226" w:name="OLE_LINK346"/>
      <w:bookmarkStart w:id="227" w:name="OLE_LINK347"/>
      <w:r>
        <w:rPr>
          <w:rFonts w:hint="eastAsia"/>
        </w:rPr>
        <w:t>由标准载荷</w:t>
      </w:r>
      <w:r>
        <w:t>、液压缸、</w:t>
      </w:r>
      <w:r>
        <w:rPr>
          <w:rFonts w:hint="eastAsia"/>
        </w:rPr>
        <w:t>可伸缩砝码罩</w:t>
      </w:r>
      <w:bookmarkEnd w:id="226"/>
      <w:bookmarkEnd w:id="227"/>
      <w:r>
        <w:rPr>
          <w:rFonts w:hint="eastAsia"/>
        </w:rPr>
        <w:t>、吊环、底板</w:t>
      </w:r>
      <w:r>
        <w:t>等组成</w:t>
      </w:r>
      <w:r>
        <w:rPr>
          <w:rFonts w:hint="eastAsia"/>
        </w:rPr>
        <w:t>，用于对称重物料罐施加载荷。</w:t>
      </w:r>
    </w:p>
    <w:p w14:paraId="0EE9CF1A">
      <w:pPr>
        <w:ind w:left="199" w:leftChars="83" w:firstLine="960" w:firstLineChars="400"/>
        <w:rPr>
          <w:rStyle w:val="38"/>
          <w:rFonts w:ascii="Times New Roman" w:hAnsi="Times New Roman" w:eastAsia="宋体"/>
          <w:b w:val="0"/>
          <w:sz w:val="24"/>
          <w:szCs w:val="24"/>
        </w:rPr>
      </w:pPr>
      <w:r>
        <w:rPr>
          <w:rStyle w:val="38"/>
          <w:rFonts w:hint="eastAsia" w:ascii="Times New Roman" w:hAnsi="Times New Roman" w:eastAsia="宋体"/>
          <w:b w:val="0"/>
          <w:sz w:val="24"/>
          <w:szCs w:val="24"/>
        </w:rPr>
        <w:drawing>
          <wp:inline distT="0" distB="0" distL="0" distR="0">
            <wp:extent cx="1231265" cy="1569085"/>
            <wp:effectExtent l="0" t="0" r="6985" b="12065"/>
            <wp:docPr id="4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2"/>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a:xfrm>
                      <a:off x="0" y="0"/>
                      <a:ext cx="1231265" cy="1569085"/>
                    </a:xfrm>
                    <a:prstGeom prst="rect">
                      <a:avLst/>
                    </a:prstGeom>
                    <a:noFill/>
                    <a:ln>
                      <a:noFill/>
                    </a:ln>
                  </pic:spPr>
                </pic:pic>
              </a:graphicData>
            </a:graphic>
          </wp:inline>
        </w:drawing>
      </w:r>
      <w:r>
        <w:rPr>
          <w:rStyle w:val="38"/>
          <w:rFonts w:hint="eastAsia" w:ascii="Times New Roman" w:hAnsi="Times New Roman" w:eastAsia="宋体"/>
          <w:b w:val="0"/>
          <w:sz w:val="24"/>
          <w:szCs w:val="24"/>
        </w:rPr>
        <w:t xml:space="preserve">         </w:t>
      </w:r>
      <w:r>
        <w:rPr>
          <w:rStyle w:val="38"/>
          <w:rFonts w:ascii="Times New Roman" w:hAnsi="Times New Roman" w:eastAsia="宋体"/>
          <w:b w:val="0"/>
          <w:sz w:val="24"/>
          <w:szCs w:val="24"/>
        </w:rPr>
        <w:object>
          <v:shape id="_x0000_i1094" o:spt="75" type="#_x0000_t75" style="height:202pt;width:269pt;" o:ole="t" filled="f" o:preferrelative="t" stroked="f" coordsize="21600,21600">
            <v:path/>
            <v:fill on="f" focussize="0,0"/>
            <v:stroke on="f" joinstyle="miter"/>
            <v:imagedata r:id="rId146" cropleft="8033f" cropright="8147f" o:title=""/>
            <o:lock v:ext="edit" aspectratio="t"/>
            <w10:wrap type="none"/>
            <w10:anchorlock/>
          </v:shape>
          <o:OLEObject Type="Embed" ProgID="AutoCAD.Drawing.19" ShapeID="_x0000_i1094" DrawAspect="Content" ObjectID="_1468075794" r:id="rId145">
            <o:LockedField>false</o:LockedField>
          </o:OLEObject>
        </w:object>
      </w:r>
    </w:p>
    <w:p w14:paraId="3ABACE78">
      <w:pPr>
        <w:spacing w:after="156" w:afterLines="50"/>
        <w:ind w:left="0" w:firstLine="480" w:firstLineChars="200"/>
        <w:rPr>
          <w:rFonts w:eastAsia="黑体"/>
          <w:sz w:val="32"/>
          <w:szCs w:val="32"/>
        </w:rPr>
      </w:pPr>
      <w:bookmarkStart w:id="228" w:name="OLE_LINK339"/>
      <w:r>
        <w:rPr>
          <w:rFonts w:hint="eastAsia"/>
        </w:rPr>
        <w:t>图G.1 标准载荷加载单元</w:t>
      </w:r>
      <w:r>
        <w:rPr>
          <w:rFonts w:hint="eastAsia"/>
          <w:szCs w:val="21"/>
        </w:rPr>
        <w:t>结构图</w:t>
      </w:r>
      <w:bookmarkEnd w:id="228"/>
      <w:r>
        <w:rPr>
          <w:rFonts w:hint="eastAsia"/>
          <w:szCs w:val="21"/>
        </w:rPr>
        <w:t xml:space="preserve">           </w:t>
      </w:r>
      <w:r>
        <w:rPr>
          <w:rFonts w:hint="eastAsia"/>
        </w:rPr>
        <w:t>图G.2 标准载荷加载系统</w:t>
      </w:r>
      <w:r>
        <w:rPr>
          <w:rFonts w:hint="eastAsia"/>
          <w:szCs w:val="21"/>
        </w:rPr>
        <w:t>结构图</w:t>
      </w:r>
    </w:p>
    <w:p w14:paraId="2B8FAA03"/>
    <w:p w14:paraId="4179F574">
      <w:pPr>
        <w:pStyle w:val="47"/>
        <w:ind w:firstLine="0" w:firstLineChars="0"/>
        <w:jc w:val="left"/>
      </w:pPr>
    </w:p>
    <w:p w14:paraId="7ECA3E1A">
      <w:pPr>
        <w:pStyle w:val="47"/>
        <w:ind w:firstLine="420"/>
        <w:jc w:val="left"/>
      </w:pPr>
      <w:r>
        <mc:AlternateContent>
          <mc:Choice Requires="wps">
            <w:drawing>
              <wp:anchor distT="0" distB="0" distL="114300" distR="114300" simplePos="0" relativeHeight="251670528" behindDoc="0" locked="0" layoutInCell="1" allowOverlap="1">
                <wp:simplePos x="0" y="0"/>
                <wp:positionH relativeFrom="column">
                  <wp:posOffset>1476375</wp:posOffset>
                </wp:positionH>
                <wp:positionV relativeFrom="paragraph">
                  <wp:posOffset>133350</wp:posOffset>
                </wp:positionV>
                <wp:extent cx="2857500" cy="0"/>
                <wp:effectExtent l="0" t="5080" r="0" b="4445"/>
                <wp:wrapNone/>
                <wp:docPr id="2" name="直线 51"/>
                <wp:cNvGraphicFramePr/>
                <a:graphic xmlns:a="http://schemas.openxmlformats.org/drawingml/2006/main">
                  <a:graphicData uri="http://schemas.microsoft.com/office/word/2010/wordprocessingShape">
                    <wps:wsp>
                      <wps:cNvCnPr>
                        <a:cxnSpLocks noChangeShapeType="1"/>
                      </wps:cNvCnPr>
                      <wps:spPr bwMode="auto">
                        <a:xfrm>
                          <a:off x="0" y="0"/>
                          <a:ext cx="2857500" cy="0"/>
                        </a:xfrm>
                        <a:prstGeom prst="line">
                          <a:avLst/>
                        </a:prstGeom>
                        <a:noFill/>
                        <a:ln w="9525">
                          <a:solidFill>
                            <a:srgbClr val="000000"/>
                          </a:solidFill>
                          <a:round/>
                        </a:ln>
                      </wps:spPr>
                      <wps:bodyPr/>
                    </wps:wsp>
                  </a:graphicData>
                </a:graphic>
              </wp:anchor>
            </w:drawing>
          </mc:Choice>
          <mc:Fallback>
            <w:pict>
              <v:line id="直线 51" o:spid="_x0000_s1026" o:spt="20" style="position:absolute;left:0pt;margin-left:116.25pt;margin-top:10.5pt;height:0pt;width:225pt;z-index:251670528;mso-width-relative:page;mso-height-relative:page;" filled="f" stroked="t" coordsize="21600,21600" o:gfxdata="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MnZZ7NUAAAAJAQAADwAAAAAAAAABACAA&#10;AAAiAAAAZHJzL2Rvd25yZXYueG1sUEsBAhQAFAAAAAgAh07iQAM9vcLXAQAAogMAAA4AAAAAAAAA&#10;AQAgAAAAJAEAAGRycy9lMm9Eb2MueG1sUEsFBgAAAAAGAAYAWQEAAG0FAAAAAA==&#10;">
                <v:fill on="f" focussize="0,0"/>
                <v:stroke color="#000000" joinstyle="round"/>
                <v:imagedata o:title=""/>
                <o:lock v:ext="edit" aspectratio="f"/>
              </v:line>
            </w:pict>
          </mc:Fallback>
        </mc:AlternateContent>
      </w:r>
    </w:p>
    <w:p w14:paraId="2FBD58EB">
      <w:pPr>
        <w:outlineLvl w:val="0"/>
        <w:rPr>
          <w:rStyle w:val="38"/>
          <w:b w:val="0"/>
        </w:rPr>
      </w:pPr>
    </w:p>
    <w:p w14:paraId="0E08F163">
      <w:pPr>
        <w:spacing w:line="360" w:lineRule="auto"/>
        <w:rPr>
          <w:rFonts w:hint="eastAsia" w:ascii="宋体" w:hAnsi="宋体" w:cs="宋体"/>
        </w:rPr>
        <w:sectPr>
          <w:pgSz w:w="11906" w:h="16838"/>
          <w:pgMar w:top="1440" w:right="1134" w:bottom="1440" w:left="1134" w:header="851" w:footer="992" w:gutter="0"/>
          <w:cols w:space="720" w:num="1"/>
          <w:docGrid w:type="linesAndChars" w:linePitch="312" w:charSpace="0"/>
        </w:sectPr>
      </w:pPr>
    </w:p>
    <w:p w14:paraId="0821176B">
      <w:pPr>
        <w:pStyle w:val="19"/>
      </w:pPr>
    </w:p>
    <w:p w14:paraId="788C1D0A">
      <w:pPr>
        <w:ind w:left="199" w:leftChars="83" w:firstLine="560" w:firstLineChars="200"/>
        <w:rPr>
          <w:rStyle w:val="38"/>
          <w:rFonts w:ascii="Times New Roman" w:hAnsi="Times New Roman" w:eastAsia="宋体"/>
          <w:b w:val="0"/>
          <w:sz w:val="24"/>
          <w:szCs w:val="24"/>
        </w:rPr>
      </w:pPr>
      <w:r>
        <w:rPr>
          <w:rFonts w:ascii="黑体" w:hAnsi="黑体" w:eastAsia="黑体"/>
          <w:sz w:val="28"/>
          <w:szCs w:val="28"/>
        </w:rPr>
        <mc:AlternateContent>
          <mc:Choice Requires="wps">
            <w:drawing>
              <wp:anchor distT="0" distB="0" distL="114300" distR="114300" simplePos="0" relativeHeight="251671552" behindDoc="0" locked="0" layoutInCell="1" allowOverlap="1">
                <wp:simplePos x="0" y="0"/>
                <wp:positionH relativeFrom="page">
                  <wp:posOffset>6467475</wp:posOffset>
                </wp:positionH>
                <wp:positionV relativeFrom="page">
                  <wp:posOffset>1655445</wp:posOffset>
                </wp:positionV>
                <wp:extent cx="402590" cy="1616710"/>
                <wp:effectExtent l="0" t="0" r="16510" b="2540"/>
                <wp:wrapNone/>
                <wp:docPr id="17" name="文本框 17"/>
                <wp:cNvGraphicFramePr/>
                <a:graphic xmlns:a="http://schemas.openxmlformats.org/drawingml/2006/main">
                  <a:graphicData uri="http://schemas.microsoft.com/office/word/2010/wordprocessingShape">
                    <wps:wsp>
                      <wps:cNvSpPr txBox="1"/>
                      <wps:spPr>
                        <a:xfrm>
                          <a:off x="0" y="0"/>
                          <a:ext cx="402590" cy="1616710"/>
                        </a:xfrm>
                        <a:prstGeom prst="rect">
                          <a:avLst/>
                        </a:prstGeom>
                        <a:solidFill>
                          <a:srgbClr val="FFFFFF"/>
                        </a:solidFill>
                        <a:ln>
                          <a:noFill/>
                        </a:ln>
                        <a:effectLst/>
                      </wps:spPr>
                      <wps:txbx>
                        <w:txbxContent>
                          <w:p w14:paraId="410E26B3">
                            <w:pPr>
                              <w:pStyle w:val="8"/>
                              <w:rPr>
                                <w:rFonts w:hint="eastAsia" w:ascii="黑体" w:hAnsi="黑体" w:eastAsia="黑体" w:cs="黑体"/>
                                <w:sz w:val="28"/>
                                <w:szCs w:val="28"/>
                              </w:rPr>
                            </w:pPr>
                            <w:r>
                              <w:rPr>
                                <w:rFonts w:hint="eastAsia" w:ascii="黑体" w:hAnsi="黑体" w:eastAsia="黑体" w:cs="黑体"/>
                                <w:sz w:val="28"/>
                                <w:szCs w:val="28"/>
                              </w:rPr>
                              <w:t>JJF（皖）XX-XXXX</w:t>
                            </w:r>
                          </w:p>
                        </w:txbxContent>
                      </wps:txbx>
                      <wps:bodyPr vert="vert270" lIns="0" tIns="0" rIns="0" bIns="0" upright="1">
                        <a:spAutoFit/>
                      </wps:bodyPr>
                    </wps:wsp>
                  </a:graphicData>
                </a:graphic>
              </wp:anchor>
            </w:drawing>
          </mc:Choice>
          <mc:Fallback>
            <w:pict>
              <v:shape id="_x0000_s1026" o:spid="_x0000_s1026" o:spt="202" type="#_x0000_t202" style="position:absolute;left:0pt;margin-left:509.25pt;margin-top:130.35pt;height:127.3pt;width:31.7pt;mso-position-horizontal-relative:page;mso-position-vertical-relative:page;z-index:251671552;mso-width-relative:page;mso-height-relative:page;" fillcolor="#FFFFFF" filled="t" stroked="f" coordsize="21600,21600" o:gfxdata="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bQFygNoAAAANAQAADwAAAAAAAAABACAAAAAiAAAAZHJzL2Rvd25yZXYueG1sUEsBAhQAFAAAAAgA&#10;h07iQLbGmybqAQAA1AMAAA4AAAAAAAAAAQAgAAAAKQEAAGRycy9lMm9Eb2MueG1sUEsFBgAAAAAG&#10;AAYAWQEAAIUFAAAAAA==&#10;">
                <v:fill on="t" focussize="0,0"/>
                <v:stroke on="f"/>
                <v:imagedata o:title=""/>
                <o:lock v:ext="edit" aspectratio="f"/>
                <v:textbox inset="0mm,0mm,0mm,0mm" style="layout-flow:vertical;mso-fit-shape-to-text:t;mso-layout-flow-alt:bottom-to-top;">
                  <w:txbxContent>
                    <w:p w14:paraId="410E26B3">
                      <w:pPr>
                        <w:pStyle w:val="8"/>
                        <w:rPr>
                          <w:rFonts w:hint="eastAsia" w:ascii="黑体" w:hAnsi="黑体" w:eastAsia="黑体" w:cs="黑体"/>
                          <w:sz w:val="28"/>
                          <w:szCs w:val="28"/>
                        </w:rPr>
                      </w:pPr>
                      <w:r>
                        <w:rPr>
                          <w:rFonts w:hint="eastAsia" w:ascii="黑体" w:hAnsi="黑体" w:eastAsia="黑体" w:cs="黑体"/>
                          <w:sz w:val="28"/>
                          <w:szCs w:val="28"/>
                        </w:rPr>
                        <w:t>JJF（皖）XX-XXXX</w:t>
                      </w:r>
                    </w:p>
                  </w:txbxContent>
                </v:textbox>
              </v:shape>
            </w:pict>
          </mc:Fallback>
        </mc:AlternateContent>
      </w:r>
    </w:p>
    <w:sectPr>
      <w:footerReference r:id="rId14" w:type="default"/>
      <w:pgSz w:w="11906" w:h="16838"/>
      <w:pgMar w:top="1440" w:right="1134" w:bottom="1440" w:left="1134" w:header="851" w:footer="992" w:gutter="0"/>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Verdana">
    <w:panose1 w:val="020B0604030504040204"/>
    <w:charset w:val="00"/>
    <w:family w:val="swiss"/>
    <w:pitch w:val="default"/>
    <w:sig w:usb0="A10006FF" w:usb1="4000205B" w:usb2="00000010" w:usb3="00000000" w:csb0="2000019F" w:csb1="00000000"/>
  </w:font>
  <w:font w:name="华文细黑">
    <w:panose1 w:val="02010600040101010101"/>
    <w:charset w:val="86"/>
    <w:family w:val="auto"/>
    <w:pitch w:val="default"/>
    <w:sig w:usb0="00000287" w:usb1="080F0000" w:usb2="00000000" w:usb3="00000000" w:csb0="0004009F" w:csb1="DFD70000"/>
  </w:font>
  <w:font w:name="NVFTFW+FZSSK--GBK1-0">
    <w:altName w:val="Segoe Print"/>
    <w:panose1 w:val="00000000000000000000"/>
    <w:charset w:val="00"/>
    <w:family w:val="auto"/>
    <w:pitch w:val="default"/>
    <w:sig w:usb0="00000000" w:usb1="00000000" w:usb2="01010101" w:usb3="01010101" w:csb0="01010101" w:csb1="01010101"/>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modern"/>
    <w:pitch w:val="default"/>
    <w:sig w:usb0="800002BF" w:usb1="38CF7CFA" w:usb2="00000016" w:usb3="00000000" w:csb0="00040001" w:csb1="00000000"/>
  </w:font>
  <w:font w:name="Segoe UI">
    <w:panose1 w:val="020B0502040204020203"/>
    <w:charset w:val="00"/>
    <w:family w:val="swiss"/>
    <w:pitch w:val="default"/>
    <w:sig w:usb0="E10022FF" w:usb1="C000E47F" w:usb2="00000029" w:usb3="00000000" w:csb0="200001DF" w:csb1="20000000"/>
  </w:font>
  <w:font w:name="Cambria Math">
    <w:panose1 w:val="02040503050406030204"/>
    <w:charset w:val="00"/>
    <w:family w:val="roman"/>
    <w:pitch w:val="default"/>
    <w:sig w:usb0="E00002FF" w:usb1="420024FF" w:usb2="00000000" w:usb3="00000000" w:csb0="2000019F" w:csb1="00000000"/>
  </w:font>
  <w:font w:name="MS Mincho">
    <w:panose1 w:val="02020609040205080304"/>
    <w:charset w:val="80"/>
    <w:family w:val="modern"/>
    <w:pitch w:val="default"/>
    <w:sig w:usb0="E00002FF" w:usb1="6AC7FDFB" w:usb2="00000012" w:usb3="00000000" w:csb0="4002009F" w:csb1="DFD70000"/>
  </w:font>
  <w:font w:name="Batang">
    <w:panose1 w:val="02030600000101010101"/>
    <w:charset w:val="81"/>
    <w:family w:val="roman"/>
    <w:pitch w:val="default"/>
    <w:sig w:usb0="B00002AF" w:usb1="69D77CFB" w:usb2="00000030" w:usb3="00000000" w:csb0="4008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96F5CF">
    <w:pPr>
      <w:pStyle w:val="14"/>
    </w:pPr>
    <w:r>
      <mc:AlternateContent>
        <mc:Choice Requires="wps">
          <w:drawing>
            <wp:anchor distT="0" distB="0" distL="114300" distR="114300" simplePos="0" relativeHeight="251687936" behindDoc="0" locked="0" layoutInCell="1" allowOverlap="1">
              <wp:simplePos x="0" y="0"/>
              <wp:positionH relativeFrom="margin">
                <wp:align>outside</wp:align>
              </wp:positionH>
              <wp:positionV relativeFrom="paragraph">
                <wp:posOffset>0</wp:posOffset>
              </wp:positionV>
              <wp:extent cx="1828800" cy="1828800"/>
              <wp:effectExtent l="0" t="0" r="0" b="0"/>
              <wp:wrapNone/>
              <wp:docPr id="38" name="文本框 3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116723C">
                          <w:pPr>
                            <w:pStyle w:val="1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879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ZNNQgtAgAAVwQAAA4AAABkcnMvZTJvRG9jLnhtbK1UzY7TMBC+I/EO&#10;lu80bVes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CZNNQgtAgAAVwQAAA4AAAAAAAAAAQAgAAAAHwEAAGRycy9lMm9Eb2MueG1sUEsFBgAAAAAG&#10;AAYAWQEAAL4FAAAAAA==&#10;">
              <v:fill on="f" focussize="0,0"/>
              <v:stroke on="f" weight="0.5pt"/>
              <v:imagedata o:title=""/>
              <o:lock v:ext="edit" aspectratio="f"/>
              <v:textbox inset="0mm,0mm,0mm,0mm" style="mso-fit-shape-to-text:t;">
                <w:txbxContent>
                  <w:p w14:paraId="1116723C">
                    <w:pPr>
                      <w:pStyle w:val="14"/>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FAAB07">
    <w:pPr>
      <w:pStyle w:val="14"/>
      <w:jc w:val="right"/>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4980325">
                          <w:pPr>
                            <w:pStyle w:val="14"/>
                            <w:jc w:val="right"/>
                          </w:pPr>
                          <w:r>
                            <w:fldChar w:fldCharType="begin"/>
                          </w:r>
                          <w:r>
                            <w:rPr>
                              <w:rStyle w:val="25"/>
                            </w:rPr>
                            <w:instrText xml:space="preserve"> PAGE </w:instrText>
                          </w:r>
                          <w:r>
                            <w:fldChar w:fldCharType="separate"/>
                          </w:r>
                          <w:r>
                            <w:rPr>
                              <w:rStyle w:val="25"/>
                            </w:rPr>
                            <w:t>I</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14:paraId="34980325">
                    <w:pPr>
                      <w:pStyle w:val="14"/>
                      <w:jc w:val="right"/>
                    </w:pPr>
                    <w:r>
                      <w:fldChar w:fldCharType="begin"/>
                    </w:r>
                    <w:r>
                      <w:rPr>
                        <w:rStyle w:val="25"/>
                      </w:rPr>
                      <w:instrText xml:space="preserve"> PAGE </w:instrText>
                    </w:r>
                    <w:r>
                      <w:fldChar w:fldCharType="separate"/>
                    </w:r>
                    <w:r>
                      <w:rPr>
                        <w:rStyle w:val="25"/>
                      </w:rPr>
                      <w:t>I</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72BE06">
    <w:pPr>
      <w:pStyle w:val="14"/>
      <w:jc w:val="right"/>
    </w:pPr>
    <w: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F5B3C0F">
                          <w:pPr>
                            <w:pStyle w:val="14"/>
                            <w:jc w:val="right"/>
                          </w:pPr>
                          <w:r>
                            <w:fldChar w:fldCharType="begin"/>
                          </w:r>
                          <w:r>
                            <w:rPr>
                              <w:rStyle w:val="25"/>
                            </w:rPr>
                            <w:instrText xml:space="preserve"> PAGE </w:instrText>
                          </w:r>
                          <w:r>
                            <w:fldChar w:fldCharType="separate"/>
                          </w:r>
                          <w:r>
                            <w:rPr>
                              <w:rStyle w:val="25"/>
                            </w:rPr>
                            <w:t>19</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CbVWnMqAgAAVQQAAA4AAAAAAAAAAQAgAAAAHwEAAGRycy9lMm9Eb2MueG1sUEsFBgAAAAAGAAYA&#10;WQEAALsFAAAAAA==&#10;">
              <v:fill on="f" focussize="0,0"/>
              <v:stroke on="f" weight="0.5pt"/>
              <v:imagedata o:title=""/>
              <o:lock v:ext="edit" aspectratio="f"/>
              <v:textbox inset="0mm,0mm,0mm,0mm" style="mso-fit-shape-to-text:t;">
                <w:txbxContent>
                  <w:p w14:paraId="6F5B3C0F">
                    <w:pPr>
                      <w:pStyle w:val="14"/>
                      <w:jc w:val="right"/>
                    </w:pPr>
                    <w:r>
                      <w:fldChar w:fldCharType="begin"/>
                    </w:r>
                    <w:r>
                      <w:rPr>
                        <w:rStyle w:val="25"/>
                      </w:rPr>
                      <w:instrText xml:space="preserve"> PAGE </w:instrText>
                    </w:r>
                    <w:r>
                      <w:fldChar w:fldCharType="separate"/>
                    </w:r>
                    <w:r>
                      <w:rPr>
                        <w:rStyle w:val="25"/>
                      </w:rPr>
                      <w:t>19</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3BF66B">
    <w:pPr>
      <w:pStyle w:val="14"/>
      <w:jc w:val="right"/>
    </w:pPr>
    <w:r>
      <mc:AlternateContent>
        <mc:Choice Requires="wps">
          <w:drawing>
            <wp:anchor distT="0" distB="0" distL="114300" distR="114300" simplePos="0" relativeHeight="251686912" behindDoc="0" locked="0" layoutInCell="1" allowOverlap="1">
              <wp:simplePos x="0" y="0"/>
              <wp:positionH relativeFrom="margin">
                <wp:align>outside</wp:align>
              </wp:positionH>
              <wp:positionV relativeFrom="paragraph">
                <wp:posOffset>0</wp:posOffset>
              </wp:positionV>
              <wp:extent cx="1828800" cy="1828800"/>
              <wp:effectExtent l="0" t="0" r="0" b="0"/>
              <wp:wrapNone/>
              <wp:docPr id="34" name="文本框 3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C716B75">
                          <w:pPr>
                            <w:pStyle w:val="14"/>
                            <w:jc w:val="right"/>
                          </w:pPr>
                          <w:r>
                            <w:fldChar w:fldCharType="begin"/>
                          </w:r>
                          <w:r>
                            <w:rPr>
                              <w:rStyle w:val="25"/>
                            </w:rPr>
                            <w:instrText xml:space="preserve"> PAGE </w:instrText>
                          </w:r>
                          <w:r>
                            <w:fldChar w:fldCharType="separate"/>
                          </w:r>
                          <w:r>
                            <w:rPr>
                              <w:rStyle w:val="25"/>
                            </w:rPr>
                            <w:t>19</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869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QaAL0tAgAAVwQAAA4AAABkcnMvZTJvRG9jLnhtbK1UzY7TMBC+I/EO&#10;lu80aRd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EQaAL0tAgAAVwQAAA4AAAAAAAAAAQAgAAAAHwEAAGRycy9lMm9Eb2MueG1sUEsFBgAAAAAG&#10;AAYAWQEAAL4FAAAAAA==&#10;">
              <v:fill on="f" focussize="0,0"/>
              <v:stroke on="f" weight="0.5pt"/>
              <v:imagedata o:title=""/>
              <o:lock v:ext="edit" aspectratio="f"/>
              <v:textbox inset="0mm,0mm,0mm,0mm" style="mso-fit-shape-to-text:t;">
                <w:txbxContent>
                  <w:p w14:paraId="3C716B75">
                    <w:pPr>
                      <w:pStyle w:val="14"/>
                      <w:jc w:val="right"/>
                    </w:pPr>
                    <w:r>
                      <w:fldChar w:fldCharType="begin"/>
                    </w:r>
                    <w:r>
                      <w:rPr>
                        <w:rStyle w:val="25"/>
                      </w:rPr>
                      <w:instrText xml:space="preserve"> PAGE </w:instrText>
                    </w:r>
                    <w:r>
                      <w:fldChar w:fldCharType="separate"/>
                    </w:r>
                    <w:r>
                      <w:rPr>
                        <w:rStyle w:val="25"/>
                      </w:rPr>
                      <w:t>19</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0E2B44">
    <w:pPr>
      <w:pStyle w:val="14"/>
      <w:jc w:val="right"/>
    </w:pPr>
    <w:r>
      <mc:AlternateContent>
        <mc:Choice Requires="wps">
          <w:drawing>
            <wp:anchor distT="0" distB="0" distL="114300" distR="114300" simplePos="0" relativeHeight="251672576" behindDoc="0" locked="0" layoutInCell="1" allowOverlap="1">
              <wp:simplePos x="0" y="0"/>
              <wp:positionH relativeFrom="margin">
                <wp:align>outside</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F56AC25">
                          <w:pPr>
                            <w:pStyle w:val="14"/>
                            <w:jc w:val="right"/>
                          </w:pPr>
                          <w:r>
                            <w:fldChar w:fldCharType="begin"/>
                          </w:r>
                          <w:r>
                            <w:rPr>
                              <w:rStyle w:val="25"/>
                            </w:rPr>
                            <w:instrText xml:space="preserve"> PAGE </w:instrText>
                          </w:r>
                          <w:r>
                            <w:fldChar w:fldCharType="separate"/>
                          </w:r>
                          <w:r>
                            <w:rPr>
                              <w:rStyle w:val="25"/>
                            </w:rPr>
                            <w:t>19</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7257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OguJYsAgAAV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2+vxunCxQNwqZEjkugeG63Q7tqe2c4U&#10;JxBzpusNb/mmRvIt8+GeOTQDHoxxCXdYSmmQxPQWJZVxX/91HuNRI3gpadBcOdWYJUrkB43aATAM&#10;hhuM3WDog7o16NYJxtDyZOKCC3IwS2fUF8zQKuaAi2mOTDkNg3kbugbHDHKxWqUgdJtlYasfLI/Q&#10;UTxvV4cAAZOuUZROiV4r9FuqTD8bsaH/3Keop//B8h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g6C4liwCAABXBAAADgAAAAAAAAABACAAAAAfAQAAZHJzL2Uyb0RvYy54bWxQSwUGAAAAAAYA&#10;BgBZAQAAvQUAAAAA&#10;">
              <v:fill on="f" focussize="0,0"/>
              <v:stroke on="f" weight="0.5pt"/>
              <v:imagedata o:title=""/>
              <o:lock v:ext="edit" aspectratio="f"/>
              <v:textbox inset="0mm,0mm,0mm,0mm" style="mso-fit-shape-to-text:t;">
                <w:txbxContent>
                  <w:p w14:paraId="7F56AC25">
                    <w:pPr>
                      <w:pStyle w:val="14"/>
                      <w:jc w:val="right"/>
                    </w:pPr>
                    <w:r>
                      <w:fldChar w:fldCharType="begin"/>
                    </w:r>
                    <w:r>
                      <w:rPr>
                        <w:rStyle w:val="25"/>
                      </w:rPr>
                      <w:instrText xml:space="preserve"> PAGE </w:instrText>
                    </w:r>
                    <w:r>
                      <w:fldChar w:fldCharType="separate"/>
                    </w:r>
                    <w:r>
                      <w:rPr>
                        <w:rStyle w:val="25"/>
                      </w:rPr>
                      <w:t>19</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082F8D">
    <w:pPr>
      <w:pStyle w:val="14"/>
    </w:pPr>
    <w:r>
      <mc:AlternateContent>
        <mc:Choice Requires="wps">
          <w:drawing>
            <wp:anchor distT="0" distB="0" distL="114300" distR="114300" simplePos="0" relativeHeight="251688960" behindDoc="0" locked="0" layoutInCell="1" allowOverlap="1">
              <wp:simplePos x="0" y="0"/>
              <wp:positionH relativeFrom="margin">
                <wp:align>outside</wp:align>
              </wp:positionH>
              <wp:positionV relativeFrom="paragraph">
                <wp:posOffset>0</wp:posOffset>
              </wp:positionV>
              <wp:extent cx="1828800" cy="1828800"/>
              <wp:effectExtent l="0" t="0" r="0" b="0"/>
              <wp:wrapNone/>
              <wp:docPr id="39" name="文本框 3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B680F50">
                          <w:pPr>
                            <w:pStyle w:val="14"/>
                          </w:pPr>
                          <w:r>
                            <w:fldChar w:fldCharType="begin"/>
                          </w:r>
                          <w:r>
                            <w:instrText xml:space="preserve"> PAGE  \* MERGEFORMAT </w:instrText>
                          </w:r>
                          <w:r>
                            <w:fldChar w:fldCharType="separate"/>
                          </w:r>
                          <w:r>
                            <w:t>30</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889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4AZkgtAgAAVwQAAA4AAABkcnMvZTJvRG9jLnhtbK1UzY7TMBC+I/EO&#10;lu80aVesSt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I4AZkgtAgAAVwQAAA4AAAAAAAAAAQAgAAAAHwEAAGRycy9lMm9Eb2MueG1sUEsFBgAAAAAG&#10;AAYAWQEAAL4FAAAAAA==&#10;">
              <v:fill on="f" focussize="0,0"/>
              <v:stroke on="f" weight="0.5pt"/>
              <v:imagedata o:title=""/>
              <o:lock v:ext="edit" aspectratio="f"/>
              <v:textbox inset="0mm,0mm,0mm,0mm" style="mso-fit-shape-to-text:t;">
                <w:txbxContent>
                  <w:p w14:paraId="7B680F50">
                    <w:pPr>
                      <w:pStyle w:val="14"/>
                    </w:pPr>
                    <w:r>
                      <w:fldChar w:fldCharType="begin"/>
                    </w:r>
                    <w:r>
                      <w:instrText xml:space="preserve"> PAGE  \* MERGEFORMAT </w:instrText>
                    </w:r>
                    <w:r>
                      <w:fldChar w:fldCharType="separate"/>
                    </w:r>
                    <w:r>
                      <w:t>30</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D6F0AA">
    <w:pPr>
      <w:pStyle w:val="15"/>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A4E41C">
    <w:pPr>
      <w:pStyle w:val="15"/>
      <w:rPr>
        <w:rFonts w:ascii="黑体" w:eastAsia="黑体"/>
      </w:rPr>
    </w:pPr>
    <w:r>
      <w:rPr>
        <w:rFonts w:hint="eastAsia" w:ascii="黑体" w:eastAsia="黑体"/>
        <w:sz w:val="21"/>
        <w:szCs w:val="21"/>
      </w:rPr>
      <w:t>JJF（皖） ××××</w:t>
    </w:r>
    <w:r>
      <w:rPr>
        <w:rFonts w:hint="eastAsia" w:ascii="黑体" w:hAnsi="宋体" w:eastAsia="黑体" w:cs="黑体"/>
        <w:kern w:val="0"/>
        <w:sz w:val="21"/>
        <w:szCs w:val="21"/>
      </w:rPr>
      <w:t>—</w:t>
    </w:r>
    <w:r>
      <w:rPr>
        <w:rFonts w:hint="eastAsia" w:ascii="黑体" w:eastAsia="黑体"/>
        <w:sz w:val="21"/>
        <w:szCs w:val="21"/>
      </w:rPr>
      <w:t>××××</w:t>
    </w:r>
  </w:p>
  <w:p w14:paraId="00D00794">
    <w:pPr>
      <w:pStyle w:val="1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E7EC60">
    <w:pPr>
      <w:pStyle w:val="15"/>
      <w:rPr>
        <w:rFonts w:ascii="黑体" w:eastAsia="黑体"/>
        <w:sz w:val="21"/>
        <w:szCs w:val="21"/>
      </w:rPr>
    </w:pPr>
    <w:r>
      <w:rPr>
        <w:rFonts w:hint="eastAsia" w:ascii="黑体" w:eastAsia="黑体"/>
        <w:sz w:val="21"/>
        <w:szCs w:val="21"/>
      </w:rPr>
      <w:t>JJF（皖） ××××</w:t>
    </w:r>
    <w:r>
      <w:rPr>
        <w:rFonts w:hint="eastAsia" w:ascii="黑体" w:hAnsi="宋体" w:eastAsia="黑体" w:cs="黑体"/>
        <w:kern w:val="0"/>
        <w:sz w:val="21"/>
        <w:szCs w:val="21"/>
      </w:rPr>
      <w:t>—</w:t>
    </w:r>
    <w:r>
      <w:rPr>
        <w:rFonts w:hint="eastAsia" w:ascii="黑体" w:eastAsia="黑体"/>
        <w:sz w:val="21"/>
        <w:szCs w:val="21"/>
      </w:rPr>
      <w:t>××××</w:t>
    </w:r>
  </w:p>
  <w:p w14:paraId="4363D413">
    <w:pPr>
      <w:pStyle w:val="15"/>
      <w:rPr>
        <w:rFonts w:ascii="黑体" w:eastAsia="黑体"/>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2899A9">
    <w:pPr>
      <w:pStyle w:val="15"/>
      <w:rPr>
        <w:rFonts w:ascii="黑体" w:eastAsia="黑体"/>
      </w:rPr>
    </w:pPr>
    <w:r>
      <w:rPr>
        <w:rFonts w:hint="eastAsia" w:ascii="黑体" w:eastAsia="黑体"/>
        <w:sz w:val="21"/>
        <w:szCs w:val="21"/>
      </w:rPr>
      <w:t>JJF（皖） ××××</w:t>
    </w:r>
    <w:r>
      <w:rPr>
        <w:rFonts w:hint="eastAsia" w:ascii="黑体" w:hAnsi="宋体" w:eastAsia="黑体" w:cs="黑体"/>
        <w:kern w:val="0"/>
        <w:sz w:val="21"/>
        <w:szCs w:val="21"/>
      </w:rPr>
      <w:t>—</w:t>
    </w:r>
    <w:r>
      <w:rPr>
        <w:rFonts w:hint="eastAsia" w:ascii="黑体" w:eastAsia="黑体"/>
        <w:sz w:val="21"/>
        <w:szCs w:val="21"/>
      </w:rPr>
      <w:t>××××</w:t>
    </w:r>
  </w:p>
  <w:p w14:paraId="639BCD2C">
    <w:pPr>
      <w:pStyle w:val="15"/>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E1B96D">
    <w:pPr>
      <w:pStyle w:val="15"/>
      <w:rPr>
        <w:rFonts w:ascii="黑体" w:eastAsia="黑体"/>
      </w:rPr>
    </w:pPr>
    <w:r>
      <w:rPr>
        <w:rFonts w:hint="eastAsia" w:ascii="黑体" w:eastAsia="黑体"/>
        <w:sz w:val="21"/>
        <w:szCs w:val="21"/>
      </w:rPr>
      <w:t>JJF（皖） ××××</w:t>
    </w:r>
    <w:r>
      <w:rPr>
        <w:rFonts w:hint="eastAsia" w:ascii="黑体" w:hAnsi="宋体" w:eastAsia="黑体" w:cs="黑体"/>
        <w:kern w:val="0"/>
        <w:sz w:val="21"/>
        <w:szCs w:val="21"/>
      </w:rPr>
      <w:t>—</w:t>
    </w:r>
    <w:r>
      <w:rPr>
        <w:rFonts w:hint="eastAsia" w:ascii="黑体" w:eastAsia="黑体"/>
        <w:sz w:val="21"/>
        <w:szCs w:val="21"/>
      </w:rPr>
      <w:t>××××</w:t>
    </w:r>
  </w:p>
  <w:p w14:paraId="709368C8">
    <w:pPr>
      <w:pStyle w:val="1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15E3A2">
    <w:pPr>
      <w:pStyle w:val="15"/>
      <w:rPr>
        <w:rFonts w:ascii="黑体" w:eastAsia="黑体"/>
      </w:rPr>
    </w:pPr>
    <w:r>
      <w:rPr>
        <w:rFonts w:hint="eastAsia" w:ascii="黑体" w:eastAsia="黑体"/>
        <w:sz w:val="21"/>
        <w:szCs w:val="21"/>
      </w:rPr>
      <w:t>JJF（皖） ××××</w:t>
    </w:r>
    <w:r>
      <w:rPr>
        <w:rFonts w:hint="eastAsia" w:ascii="黑体" w:hAnsi="宋体" w:eastAsia="黑体" w:cs="黑体"/>
        <w:kern w:val="0"/>
        <w:sz w:val="21"/>
        <w:szCs w:val="21"/>
      </w:rPr>
      <w:t>—</w:t>
    </w:r>
    <w:r>
      <w:rPr>
        <w:rFonts w:hint="eastAsia" w:ascii="黑体" w:eastAsia="黑体"/>
        <w:sz w:val="21"/>
        <w:szCs w:val="21"/>
      </w:rPr>
      <w:t>××××</w:t>
    </w:r>
  </w:p>
  <w:p w14:paraId="78CA80D6">
    <w:pPr>
      <w:pStyle w:val="1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3266152"/>
    <w:multiLevelType w:val="multilevel"/>
    <w:tmpl w:val="A3266152"/>
    <w:lvl w:ilvl="0" w:tentative="0">
      <w:start w:val="1"/>
      <w:numFmt w:val="chineseCountingThousand"/>
      <w:suff w:val="space"/>
      <w:lvlText w:val="%1、"/>
      <w:lvlJc w:val="left"/>
      <w:pPr>
        <w:ind w:left="360" w:hanging="360"/>
      </w:pPr>
      <w:rPr>
        <w:rFonts w:hint="eastAsia"/>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
    <w:nsid w:val="0000000B"/>
    <w:multiLevelType w:val="multilevel"/>
    <w:tmpl w:val="0000000B"/>
    <w:lvl w:ilvl="0" w:tentative="0">
      <w:start w:val="1"/>
      <w:numFmt w:val="none"/>
      <w:pStyle w:val="48"/>
      <w:suff w:val="nothing"/>
      <w:lvlText w:val="%1"/>
      <w:lvlJc w:val="left"/>
      <w:pPr>
        <w:ind w:left="0" w:firstLine="0"/>
      </w:pPr>
      <w:rPr>
        <w:rFonts w:hint="default" w:ascii="Times New Roman" w:hAnsi="Times New Roman"/>
        <w:b/>
        <w:i w:val="0"/>
        <w:sz w:val="21"/>
      </w:rPr>
    </w:lvl>
    <w:lvl w:ilvl="1" w:tentative="0">
      <w:start w:val="1"/>
      <w:numFmt w:val="decimal"/>
      <w:pStyle w:val="46"/>
      <w:suff w:val="nothing"/>
      <w:lvlText w:val="%1%2　"/>
      <w:lvlJc w:val="left"/>
      <w:pPr>
        <w:ind w:left="0" w:firstLine="0"/>
      </w:pPr>
      <w:rPr>
        <w:rFonts w:hint="default" w:ascii="Times New Roman" w:hAnsi="Times New Roman" w:eastAsia="黑体" w:cs="Times New Roman"/>
        <w:b w:val="0"/>
        <w:i w:val="0"/>
        <w:sz w:val="24"/>
        <w:szCs w:val="24"/>
      </w:rPr>
    </w:lvl>
    <w:lvl w:ilvl="2" w:tentative="0">
      <w:start w:val="1"/>
      <w:numFmt w:val="decimal"/>
      <w:pStyle w:val="45"/>
      <w:suff w:val="nothing"/>
      <w:lvlText w:val="%1%2.%3　"/>
      <w:lvlJc w:val="left"/>
      <w:pPr>
        <w:ind w:left="0" w:firstLine="0"/>
      </w:pPr>
      <w:rPr>
        <w:rFonts w:hint="default" w:ascii="Times New Roman" w:hAnsi="Times New Roman" w:eastAsia="宋体" w:cs="Times New Roman"/>
        <w:b w:val="0"/>
        <w:i w:val="0"/>
        <w:sz w:val="24"/>
        <w:szCs w:val="24"/>
      </w:rPr>
    </w:lvl>
    <w:lvl w:ilvl="3" w:tentative="0">
      <w:start w:val="1"/>
      <w:numFmt w:val="decimal"/>
      <w:pStyle w:val="52"/>
      <w:suff w:val="nothing"/>
      <w:lvlText w:val="%1%2.%3.%4　"/>
      <w:lvlJc w:val="left"/>
      <w:pPr>
        <w:ind w:left="0" w:firstLine="0"/>
      </w:pPr>
      <w:rPr>
        <w:rFonts w:hint="default" w:ascii="Times New Roman" w:hAnsi="Times New Roman" w:eastAsia="宋体" w:cs="Times New Roman"/>
        <w:b w:val="0"/>
        <w:i w:val="0"/>
        <w:sz w:val="24"/>
        <w:szCs w:val="24"/>
      </w:rPr>
    </w:lvl>
    <w:lvl w:ilvl="4" w:tentative="0">
      <w:start w:val="1"/>
      <w:numFmt w:val="decimal"/>
      <w:pStyle w:val="51"/>
      <w:suff w:val="nothing"/>
      <w:lvlText w:val="%1%2.%3.%4.%5　"/>
      <w:lvlJc w:val="left"/>
      <w:pPr>
        <w:ind w:left="0" w:firstLine="0"/>
      </w:pPr>
      <w:rPr>
        <w:rFonts w:hint="eastAsia" w:ascii="黑体" w:hAnsi="Times New Roman" w:eastAsia="黑体"/>
        <w:b w:val="0"/>
        <w:i w:val="0"/>
        <w:sz w:val="21"/>
      </w:rPr>
    </w:lvl>
    <w:lvl w:ilvl="5" w:tentative="0">
      <w:start w:val="1"/>
      <w:numFmt w:val="decimal"/>
      <w:pStyle w:val="50"/>
      <w:suff w:val="nothing"/>
      <w:lvlText w:val="%1%2.%3.%4.%5.%6　"/>
      <w:lvlJc w:val="left"/>
      <w:pPr>
        <w:ind w:left="0" w:firstLine="0"/>
      </w:pPr>
      <w:rPr>
        <w:rFonts w:hint="eastAsia" w:ascii="黑体" w:hAnsi="Times New Roman" w:eastAsia="黑体"/>
        <w:b w:val="0"/>
        <w:i w:val="0"/>
        <w:sz w:val="21"/>
      </w:rPr>
    </w:lvl>
    <w:lvl w:ilvl="6" w:tentative="0">
      <w:start w:val="1"/>
      <w:numFmt w:val="decimal"/>
      <w:pStyle w:val="49"/>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
    <w:nsid w:val="3295C861"/>
    <w:multiLevelType w:val="multilevel"/>
    <w:tmpl w:val="3295C861"/>
    <w:lvl w:ilvl="0" w:tentative="0">
      <w:start w:val="1"/>
      <w:numFmt w:val="chineseCountingThousand"/>
      <w:suff w:val="space"/>
      <w:lvlText w:val="%1、"/>
      <w:lvlJc w:val="left"/>
      <w:pPr>
        <w:ind w:left="360" w:hanging="360"/>
      </w:pPr>
      <w:rPr>
        <w:rFonts w:hint="eastAsia"/>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3">
    <w:nsid w:val="34612535"/>
    <w:multiLevelType w:val="multilevel"/>
    <w:tmpl w:val="34612535"/>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40F71097"/>
    <w:multiLevelType w:val="multilevel"/>
    <w:tmpl w:val="40F71097"/>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4DCB270C"/>
    <w:multiLevelType w:val="multilevel"/>
    <w:tmpl w:val="4DCB270C"/>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6C177485"/>
    <w:multiLevelType w:val="singleLevel"/>
    <w:tmpl w:val="6C177485"/>
    <w:lvl w:ilvl="0" w:tentative="0">
      <w:start w:val="1"/>
      <w:numFmt w:val="decimal"/>
      <w:pStyle w:val="40"/>
      <w:lvlText w:val="%1."/>
      <w:lvlJc w:val="left"/>
      <w:pPr>
        <w:tabs>
          <w:tab w:val="left" w:pos="165"/>
        </w:tabs>
        <w:ind w:left="165" w:hanging="165"/>
      </w:pPr>
      <w:rPr>
        <w:rFonts w:hint="eastAsia"/>
      </w:rPr>
    </w:lvl>
  </w:abstractNum>
  <w:num w:numId="1">
    <w:abstractNumId w:val="6"/>
  </w:num>
  <w:num w:numId="2">
    <w:abstractNumId w:val="1"/>
  </w:num>
  <w:num w:numId="3">
    <w:abstractNumId w:val="0"/>
  </w:num>
  <w:num w:numId="4">
    <w:abstractNumId w:val="4"/>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3"/>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80"/>
  <w:drawingGridHorizontalSpacing w:val="2"/>
  <w:drawingGridVerticalSpacing w:val="3"/>
  <w:noPunctuationKerning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ZjM2ExOTY5NzliMTUxM2JiZDhjMjYzNzEyYzViMDQifQ=="/>
  </w:docVars>
  <w:rsids>
    <w:rsidRoot w:val="00172A27"/>
    <w:rsid w:val="00002BD1"/>
    <w:rsid w:val="00003F10"/>
    <w:rsid w:val="00004193"/>
    <w:rsid w:val="00004668"/>
    <w:rsid w:val="00004F8D"/>
    <w:rsid w:val="00005BA2"/>
    <w:rsid w:val="0000627E"/>
    <w:rsid w:val="000068F2"/>
    <w:rsid w:val="00007D7C"/>
    <w:rsid w:val="00007FCF"/>
    <w:rsid w:val="00007FDD"/>
    <w:rsid w:val="00010965"/>
    <w:rsid w:val="0001153E"/>
    <w:rsid w:val="00011C4C"/>
    <w:rsid w:val="00012344"/>
    <w:rsid w:val="000128E3"/>
    <w:rsid w:val="00013F5B"/>
    <w:rsid w:val="000147BD"/>
    <w:rsid w:val="00014C93"/>
    <w:rsid w:val="0001558F"/>
    <w:rsid w:val="00015B5A"/>
    <w:rsid w:val="00015F95"/>
    <w:rsid w:val="0001627C"/>
    <w:rsid w:val="00016463"/>
    <w:rsid w:val="000166DD"/>
    <w:rsid w:val="00016B5A"/>
    <w:rsid w:val="00021099"/>
    <w:rsid w:val="000210B4"/>
    <w:rsid w:val="000217DC"/>
    <w:rsid w:val="00021F75"/>
    <w:rsid w:val="000221E3"/>
    <w:rsid w:val="0002258D"/>
    <w:rsid w:val="00022BFC"/>
    <w:rsid w:val="00022FE5"/>
    <w:rsid w:val="00023B0A"/>
    <w:rsid w:val="00023F40"/>
    <w:rsid w:val="000244C3"/>
    <w:rsid w:val="0002622E"/>
    <w:rsid w:val="00026924"/>
    <w:rsid w:val="00027034"/>
    <w:rsid w:val="000272A3"/>
    <w:rsid w:val="000277C4"/>
    <w:rsid w:val="0002785A"/>
    <w:rsid w:val="00027E09"/>
    <w:rsid w:val="0003017A"/>
    <w:rsid w:val="00031C36"/>
    <w:rsid w:val="000325E1"/>
    <w:rsid w:val="00033482"/>
    <w:rsid w:val="00033930"/>
    <w:rsid w:val="00035221"/>
    <w:rsid w:val="0003686F"/>
    <w:rsid w:val="000379CF"/>
    <w:rsid w:val="00037A8D"/>
    <w:rsid w:val="0004015F"/>
    <w:rsid w:val="00040239"/>
    <w:rsid w:val="000403A3"/>
    <w:rsid w:val="000419C1"/>
    <w:rsid w:val="000419EA"/>
    <w:rsid w:val="00042176"/>
    <w:rsid w:val="0004360D"/>
    <w:rsid w:val="000436D4"/>
    <w:rsid w:val="00046CC2"/>
    <w:rsid w:val="00046E4E"/>
    <w:rsid w:val="00047757"/>
    <w:rsid w:val="0005091A"/>
    <w:rsid w:val="00051C22"/>
    <w:rsid w:val="00052796"/>
    <w:rsid w:val="00052B2E"/>
    <w:rsid w:val="00053E76"/>
    <w:rsid w:val="00054268"/>
    <w:rsid w:val="0005457F"/>
    <w:rsid w:val="0005685D"/>
    <w:rsid w:val="00056BC2"/>
    <w:rsid w:val="00061C3E"/>
    <w:rsid w:val="000623BA"/>
    <w:rsid w:val="000625F5"/>
    <w:rsid w:val="000633EF"/>
    <w:rsid w:val="00063EF8"/>
    <w:rsid w:val="00063FAB"/>
    <w:rsid w:val="00064286"/>
    <w:rsid w:val="000644EF"/>
    <w:rsid w:val="0006578D"/>
    <w:rsid w:val="00066147"/>
    <w:rsid w:val="000661AE"/>
    <w:rsid w:val="00070664"/>
    <w:rsid w:val="000709FC"/>
    <w:rsid w:val="00070C14"/>
    <w:rsid w:val="00070D36"/>
    <w:rsid w:val="00071BE8"/>
    <w:rsid w:val="00071E03"/>
    <w:rsid w:val="00072210"/>
    <w:rsid w:val="000726F4"/>
    <w:rsid w:val="00072822"/>
    <w:rsid w:val="0007290A"/>
    <w:rsid w:val="0007350E"/>
    <w:rsid w:val="00073A4D"/>
    <w:rsid w:val="00073A95"/>
    <w:rsid w:val="00073BB1"/>
    <w:rsid w:val="00075E92"/>
    <w:rsid w:val="00076358"/>
    <w:rsid w:val="00076E5A"/>
    <w:rsid w:val="00077C55"/>
    <w:rsid w:val="00077D5B"/>
    <w:rsid w:val="00081603"/>
    <w:rsid w:val="00081C65"/>
    <w:rsid w:val="00081D75"/>
    <w:rsid w:val="00082067"/>
    <w:rsid w:val="00082833"/>
    <w:rsid w:val="000831DF"/>
    <w:rsid w:val="00083A49"/>
    <w:rsid w:val="00084346"/>
    <w:rsid w:val="00084C47"/>
    <w:rsid w:val="0008517A"/>
    <w:rsid w:val="00085324"/>
    <w:rsid w:val="0008589E"/>
    <w:rsid w:val="0008646E"/>
    <w:rsid w:val="000872DA"/>
    <w:rsid w:val="000878E0"/>
    <w:rsid w:val="00090249"/>
    <w:rsid w:val="00090C3A"/>
    <w:rsid w:val="00092CDA"/>
    <w:rsid w:val="00093A95"/>
    <w:rsid w:val="00095249"/>
    <w:rsid w:val="00096BBF"/>
    <w:rsid w:val="00096DCA"/>
    <w:rsid w:val="00097A7B"/>
    <w:rsid w:val="00097C56"/>
    <w:rsid w:val="00097D35"/>
    <w:rsid w:val="000A0652"/>
    <w:rsid w:val="000A0B69"/>
    <w:rsid w:val="000A2029"/>
    <w:rsid w:val="000A2574"/>
    <w:rsid w:val="000A2F66"/>
    <w:rsid w:val="000A3134"/>
    <w:rsid w:val="000A40D0"/>
    <w:rsid w:val="000A4DA6"/>
    <w:rsid w:val="000A4DC8"/>
    <w:rsid w:val="000A5CA8"/>
    <w:rsid w:val="000A702C"/>
    <w:rsid w:val="000A73A2"/>
    <w:rsid w:val="000B0046"/>
    <w:rsid w:val="000B01EB"/>
    <w:rsid w:val="000B03C0"/>
    <w:rsid w:val="000B0BBB"/>
    <w:rsid w:val="000B0C41"/>
    <w:rsid w:val="000B13A2"/>
    <w:rsid w:val="000B1551"/>
    <w:rsid w:val="000B1B1E"/>
    <w:rsid w:val="000B274B"/>
    <w:rsid w:val="000B2BCD"/>
    <w:rsid w:val="000B2CAA"/>
    <w:rsid w:val="000B2F1B"/>
    <w:rsid w:val="000B3A10"/>
    <w:rsid w:val="000B5886"/>
    <w:rsid w:val="000B6BE9"/>
    <w:rsid w:val="000B70CD"/>
    <w:rsid w:val="000B7257"/>
    <w:rsid w:val="000B7FB7"/>
    <w:rsid w:val="000C0284"/>
    <w:rsid w:val="000C19E4"/>
    <w:rsid w:val="000C26C7"/>
    <w:rsid w:val="000C2FA3"/>
    <w:rsid w:val="000C35BB"/>
    <w:rsid w:val="000C38E5"/>
    <w:rsid w:val="000C43E8"/>
    <w:rsid w:val="000C5198"/>
    <w:rsid w:val="000C5858"/>
    <w:rsid w:val="000C58A9"/>
    <w:rsid w:val="000C59C4"/>
    <w:rsid w:val="000C5BB9"/>
    <w:rsid w:val="000C5FC0"/>
    <w:rsid w:val="000C6F13"/>
    <w:rsid w:val="000C7EED"/>
    <w:rsid w:val="000D0450"/>
    <w:rsid w:val="000D09A5"/>
    <w:rsid w:val="000D1340"/>
    <w:rsid w:val="000D145B"/>
    <w:rsid w:val="000D1B1B"/>
    <w:rsid w:val="000D2595"/>
    <w:rsid w:val="000D2B43"/>
    <w:rsid w:val="000D33D3"/>
    <w:rsid w:val="000D3522"/>
    <w:rsid w:val="000D4DA7"/>
    <w:rsid w:val="000D4FF5"/>
    <w:rsid w:val="000D5AFB"/>
    <w:rsid w:val="000D5CC3"/>
    <w:rsid w:val="000D5D67"/>
    <w:rsid w:val="000D6281"/>
    <w:rsid w:val="000D63E2"/>
    <w:rsid w:val="000E0D21"/>
    <w:rsid w:val="000E101F"/>
    <w:rsid w:val="000E1A6B"/>
    <w:rsid w:val="000E1EB4"/>
    <w:rsid w:val="000E1FC2"/>
    <w:rsid w:val="000E2099"/>
    <w:rsid w:val="000E23F2"/>
    <w:rsid w:val="000E2980"/>
    <w:rsid w:val="000E333E"/>
    <w:rsid w:val="000E46E6"/>
    <w:rsid w:val="000E692D"/>
    <w:rsid w:val="000E712E"/>
    <w:rsid w:val="000E71AE"/>
    <w:rsid w:val="000E74FA"/>
    <w:rsid w:val="000F1B4A"/>
    <w:rsid w:val="000F1BFA"/>
    <w:rsid w:val="000F24C9"/>
    <w:rsid w:val="000F3104"/>
    <w:rsid w:val="000F3CAB"/>
    <w:rsid w:val="000F47A7"/>
    <w:rsid w:val="000F5707"/>
    <w:rsid w:val="000F5ADD"/>
    <w:rsid w:val="000F73AE"/>
    <w:rsid w:val="000F7979"/>
    <w:rsid w:val="000F7A88"/>
    <w:rsid w:val="000F7CA3"/>
    <w:rsid w:val="001004F8"/>
    <w:rsid w:val="001005CC"/>
    <w:rsid w:val="001018D0"/>
    <w:rsid w:val="001020C0"/>
    <w:rsid w:val="00102C56"/>
    <w:rsid w:val="00103922"/>
    <w:rsid w:val="00103A01"/>
    <w:rsid w:val="001040EA"/>
    <w:rsid w:val="001043B1"/>
    <w:rsid w:val="00104530"/>
    <w:rsid w:val="0010478C"/>
    <w:rsid w:val="00105C90"/>
    <w:rsid w:val="00105F0B"/>
    <w:rsid w:val="00106FAE"/>
    <w:rsid w:val="00107DA9"/>
    <w:rsid w:val="00107F0A"/>
    <w:rsid w:val="001104DE"/>
    <w:rsid w:val="00110CAC"/>
    <w:rsid w:val="0011195C"/>
    <w:rsid w:val="00111B5A"/>
    <w:rsid w:val="00114A02"/>
    <w:rsid w:val="00114DDD"/>
    <w:rsid w:val="00115551"/>
    <w:rsid w:val="00115757"/>
    <w:rsid w:val="00115E3A"/>
    <w:rsid w:val="00115E93"/>
    <w:rsid w:val="00116020"/>
    <w:rsid w:val="0011606E"/>
    <w:rsid w:val="00116397"/>
    <w:rsid w:val="00116AC9"/>
    <w:rsid w:val="00116F93"/>
    <w:rsid w:val="00117258"/>
    <w:rsid w:val="0011731D"/>
    <w:rsid w:val="001175C2"/>
    <w:rsid w:val="00117E8A"/>
    <w:rsid w:val="00120571"/>
    <w:rsid w:val="0012097D"/>
    <w:rsid w:val="00120E87"/>
    <w:rsid w:val="00121033"/>
    <w:rsid w:val="001212AF"/>
    <w:rsid w:val="00121505"/>
    <w:rsid w:val="001223AD"/>
    <w:rsid w:val="001223B6"/>
    <w:rsid w:val="0012366F"/>
    <w:rsid w:val="001244EF"/>
    <w:rsid w:val="001244F3"/>
    <w:rsid w:val="00124D1C"/>
    <w:rsid w:val="00125565"/>
    <w:rsid w:val="00125E61"/>
    <w:rsid w:val="001262DA"/>
    <w:rsid w:val="0012664C"/>
    <w:rsid w:val="00126B4A"/>
    <w:rsid w:val="001306EB"/>
    <w:rsid w:val="00130C52"/>
    <w:rsid w:val="001315F3"/>
    <w:rsid w:val="00131F0F"/>
    <w:rsid w:val="00131F53"/>
    <w:rsid w:val="00132123"/>
    <w:rsid w:val="00132AD4"/>
    <w:rsid w:val="00133367"/>
    <w:rsid w:val="0013446D"/>
    <w:rsid w:val="001345E7"/>
    <w:rsid w:val="00134D60"/>
    <w:rsid w:val="00134F11"/>
    <w:rsid w:val="00134FE8"/>
    <w:rsid w:val="001352AD"/>
    <w:rsid w:val="001353AC"/>
    <w:rsid w:val="001356E7"/>
    <w:rsid w:val="00136EDA"/>
    <w:rsid w:val="00137690"/>
    <w:rsid w:val="00140311"/>
    <w:rsid w:val="00140F32"/>
    <w:rsid w:val="00141D9B"/>
    <w:rsid w:val="00142700"/>
    <w:rsid w:val="00142C4E"/>
    <w:rsid w:val="001445C3"/>
    <w:rsid w:val="00146D43"/>
    <w:rsid w:val="00147746"/>
    <w:rsid w:val="0015063B"/>
    <w:rsid w:val="0015081D"/>
    <w:rsid w:val="001519E3"/>
    <w:rsid w:val="00152741"/>
    <w:rsid w:val="00152829"/>
    <w:rsid w:val="00152A19"/>
    <w:rsid w:val="00152EE3"/>
    <w:rsid w:val="0015431C"/>
    <w:rsid w:val="00156E70"/>
    <w:rsid w:val="00156F25"/>
    <w:rsid w:val="00160261"/>
    <w:rsid w:val="00161239"/>
    <w:rsid w:val="00162CAD"/>
    <w:rsid w:val="001630E3"/>
    <w:rsid w:val="00163B32"/>
    <w:rsid w:val="00163D47"/>
    <w:rsid w:val="00164B59"/>
    <w:rsid w:val="00165945"/>
    <w:rsid w:val="0016637A"/>
    <w:rsid w:val="00166AA3"/>
    <w:rsid w:val="00166D44"/>
    <w:rsid w:val="0016778F"/>
    <w:rsid w:val="0016788B"/>
    <w:rsid w:val="00167AAF"/>
    <w:rsid w:val="00167C56"/>
    <w:rsid w:val="001706E0"/>
    <w:rsid w:val="00170778"/>
    <w:rsid w:val="00171A19"/>
    <w:rsid w:val="0017270A"/>
    <w:rsid w:val="00172A27"/>
    <w:rsid w:val="00173260"/>
    <w:rsid w:val="00173876"/>
    <w:rsid w:val="00173B20"/>
    <w:rsid w:val="00174628"/>
    <w:rsid w:val="00174D81"/>
    <w:rsid w:val="0017516D"/>
    <w:rsid w:val="0017736B"/>
    <w:rsid w:val="001801BE"/>
    <w:rsid w:val="0018070C"/>
    <w:rsid w:val="00181651"/>
    <w:rsid w:val="00183138"/>
    <w:rsid w:val="00183827"/>
    <w:rsid w:val="00184B1A"/>
    <w:rsid w:val="00185C4C"/>
    <w:rsid w:val="001865D9"/>
    <w:rsid w:val="00186D84"/>
    <w:rsid w:val="00186E71"/>
    <w:rsid w:val="0018721A"/>
    <w:rsid w:val="0018730B"/>
    <w:rsid w:val="00190370"/>
    <w:rsid w:val="00190D53"/>
    <w:rsid w:val="001913D8"/>
    <w:rsid w:val="00192103"/>
    <w:rsid w:val="00192C0C"/>
    <w:rsid w:val="00192D89"/>
    <w:rsid w:val="00192FE9"/>
    <w:rsid w:val="001936E5"/>
    <w:rsid w:val="0019379A"/>
    <w:rsid w:val="00193BF4"/>
    <w:rsid w:val="00193F63"/>
    <w:rsid w:val="00194426"/>
    <w:rsid w:val="0019536F"/>
    <w:rsid w:val="0019597E"/>
    <w:rsid w:val="001962F2"/>
    <w:rsid w:val="001967CC"/>
    <w:rsid w:val="001969CB"/>
    <w:rsid w:val="00196A8B"/>
    <w:rsid w:val="001A0A2A"/>
    <w:rsid w:val="001A11B2"/>
    <w:rsid w:val="001A178C"/>
    <w:rsid w:val="001A1871"/>
    <w:rsid w:val="001A2CA9"/>
    <w:rsid w:val="001A4185"/>
    <w:rsid w:val="001A4E64"/>
    <w:rsid w:val="001A61CF"/>
    <w:rsid w:val="001A65E0"/>
    <w:rsid w:val="001A67E3"/>
    <w:rsid w:val="001A6A16"/>
    <w:rsid w:val="001A77D3"/>
    <w:rsid w:val="001B03A4"/>
    <w:rsid w:val="001B0D66"/>
    <w:rsid w:val="001B171F"/>
    <w:rsid w:val="001B1AAF"/>
    <w:rsid w:val="001B1B92"/>
    <w:rsid w:val="001B24E1"/>
    <w:rsid w:val="001B2B06"/>
    <w:rsid w:val="001B31E5"/>
    <w:rsid w:val="001B3B02"/>
    <w:rsid w:val="001B4184"/>
    <w:rsid w:val="001B4483"/>
    <w:rsid w:val="001B5A94"/>
    <w:rsid w:val="001B640D"/>
    <w:rsid w:val="001B69DF"/>
    <w:rsid w:val="001C0049"/>
    <w:rsid w:val="001C107F"/>
    <w:rsid w:val="001C1EA2"/>
    <w:rsid w:val="001C41FF"/>
    <w:rsid w:val="001C4E32"/>
    <w:rsid w:val="001C54C3"/>
    <w:rsid w:val="001C5708"/>
    <w:rsid w:val="001C5D0F"/>
    <w:rsid w:val="001C5E71"/>
    <w:rsid w:val="001C699B"/>
    <w:rsid w:val="001C7D1A"/>
    <w:rsid w:val="001D0E02"/>
    <w:rsid w:val="001D0E38"/>
    <w:rsid w:val="001D1AD3"/>
    <w:rsid w:val="001D1AD8"/>
    <w:rsid w:val="001D1FE8"/>
    <w:rsid w:val="001D2D66"/>
    <w:rsid w:val="001D307E"/>
    <w:rsid w:val="001D3234"/>
    <w:rsid w:val="001D3960"/>
    <w:rsid w:val="001D3A15"/>
    <w:rsid w:val="001D4174"/>
    <w:rsid w:val="001D46CD"/>
    <w:rsid w:val="001D585B"/>
    <w:rsid w:val="001D5FCB"/>
    <w:rsid w:val="001D694F"/>
    <w:rsid w:val="001D69BA"/>
    <w:rsid w:val="001D6BE0"/>
    <w:rsid w:val="001D7918"/>
    <w:rsid w:val="001D793F"/>
    <w:rsid w:val="001E0275"/>
    <w:rsid w:val="001E02F8"/>
    <w:rsid w:val="001E03FE"/>
    <w:rsid w:val="001E0675"/>
    <w:rsid w:val="001E1636"/>
    <w:rsid w:val="001E17AC"/>
    <w:rsid w:val="001E1C77"/>
    <w:rsid w:val="001E2373"/>
    <w:rsid w:val="001E2A63"/>
    <w:rsid w:val="001E3210"/>
    <w:rsid w:val="001E3751"/>
    <w:rsid w:val="001E3783"/>
    <w:rsid w:val="001E3A0C"/>
    <w:rsid w:val="001E41D2"/>
    <w:rsid w:val="001E44B7"/>
    <w:rsid w:val="001E44D3"/>
    <w:rsid w:val="001E4902"/>
    <w:rsid w:val="001E49DA"/>
    <w:rsid w:val="001E4D1D"/>
    <w:rsid w:val="001E4EC0"/>
    <w:rsid w:val="001E6906"/>
    <w:rsid w:val="001F07E9"/>
    <w:rsid w:val="001F132E"/>
    <w:rsid w:val="001F1435"/>
    <w:rsid w:val="001F183E"/>
    <w:rsid w:val="001F2126"/>
    <w:rsid w:val="001F3D33"/>
    <w:rsid w:val="001F4F33"/>
    <w:rsid w:val="001F547C"/>
    <w:rsid w:val="001F59AA"/>
    <w:rsid w:val="0020028D"/>
    <w:rsid w:val="0020044D"/>
    <w:rsid w:val="0020062E"/>
    <w:rsid w:val="00201238"/>
    <w:rsid w:val="002029B4"/>
    <w:rsid w:val="00202E77"/>
    <w:rsid w:val="00203DDA"/>
    <w:rsid w:val="00204600"/>
    <w:rsid w:val="002053FB"/>
    <w:rsid w:val="002061FC"/>
    <w:rsid w:val="0021164B"/>
    <w:rsid w:val="002117CE"/>
    <w:rsid w:val="00211F33"/>
    <w:rsid w:val="00212D71"/>
    <w:rsid w:val="002135AE"/>
    <w:rsid w:val="002135CD"/>
    <w:rsid w:val="002142EB"/>
    <w:rsid w:val="002149F1"/>
    <w:rsid w:val="00215031"/>
    <w:rsid w:val="002150E8"/>
    <w:rsid w:val="00215218"/>
    <w:rsid w:val="0021590A"/>
    <w:rsid w:val="00215A5B"/>
    <w:rsid w:val="00216D1C"/>
    <w:rsid w:val="00217717"/>
    <w:rsid w:val="00217A14"/>
    <w:rsid w:val="00220EA8"/>
    <w:rsid w:val="00220F18"/>
    <w:rsid w:val="002212E4"/>
    <w:rsid w:val="00221C89"/>
    <w:rsid w:val="002221B3"/>
    <w:rsid w:val="00222D1E"/>
    <w:rsid w:val="00222F1B"/>
    <w:rsid w:val="00223139"/>
    <w:rsid w:val="00223DB3"/>
    <w:rsid w:val="0022483D"/>
    <w:rsid w:val="00224BA8"/>
    <w:rsid w:val="00224CCF"/>
    <w:rsid w:val="00224F3C"/>
    <w:rsid w:val="00226425"/>
    <w:rsid w:val="00227915"/>
    <w:rsid w:val="00230E54"/>
    <w:rsid w:val="0023148E"/>
    <w:rsid w:val="00232166"/>
    <w:rsid w:val="00234213"/>
    <w:rsid w:val="00234393"/>
    <w:rsid w:val="00234744"/>
    <w:rsid w:val="0023559E"/>
    <w:rsid w:val="002356E6"/>
    <w:rsid w:val="002366A6"/>
    <w:rsid w:val="00236CD4"/>
    <w:rsid w:val="00237425"/>
    <w:rsid w:val="00237EA5"/>
    <w:rsid w:val="002404E4"/>
    <w:rsid w:val="00240DBE"/>
    <w:rsid w:val="00240F53"/>
    <w:rsid w:val="00241D31"/>
    <w:rsid w:val="0024284D"/>
    <w:rsid w:val="002429E6"/>
    <w:rsid w:val="0024302E"/>
    <w:rsid w:val="00243C87"/>
    <w:rsid w:val="00244B77"/>
    <w:rsid w:val="00245536"/>
    <w:rsid w:val="00245629"/>
    <w:rsid w:val="00245C42"/>
    <w:rsid w:val="00245F35"/>
    <w:rsid w:val="00246102"/>
    <w:rsid w:val="00246741"/>
    <w:rsid w:val="002476AB"/>
    <w:rsid w:val="00251032"/>
    <w:rsid w:val="00251486"/>
    <w:rsid w:val="0025172F"/>
    <w:rsid w:val="00251920"/>
    <w:rsid w:val="00252591"/>
    <w:rsid w:val="00253C0C"/>
    <w:rsid w:val="0025517E"/>
    <w:rsid w:val="00255839"/>
    <w:rsid w:val="00255C92"/>
    <w:rsid w:val="00256B82"/>
    <w:rsid w:val="00256CCC"/>
    <w:rsid w:val="00257C76"/>
    <w:rsid w:val="00257D5D"/>
    <w:rsid w:val="00257FE0"/>
    <w:rsid w:val="0026009D"/>
    <w:rsid w:val="00260CD7"/>
    <w:rsid w:val="00260DC0"/>
    <w:rsid w:val="00260FFF"/>
    <w:rsid w:val="00261477"/>
    <w:rsid w:val="002618FA"/>
    <w:rsid w:val="00261D35"/>
    <w:rsid w:val="00262A98"/>
    <w:rsid w:val="00262CF3"/>
    <w:rsid w:val="00263732"/>
    <w:rsid w:val="0026493F"/>
    <w:rsid w:val="00264BBC"/>
    <w:rsid w:val="002664C8"/>
    <w:rsid w:val="00266A8E"/>
    <w:rsid w:val="002708D7"/>
    <w:rsid w:val="00270B1A"/>
    <w:rsid w:val="00270B29"/>
    <w:rsid w:val="00270B4F"/>
    <w:rsid w:val="002714D0"/>
    <w:rsid w:val="002727A9"/>
    <w:rsid w:val="00272C4C"/>
    <w:rsid w:val="0027418F"/>
    <w:rsid w:val="002744CB"/>
    <w:rsid w:val="002744E5"/>
    <w:rsid w:val="00274F09"/>
    <w:rsid w:val="00276523"/>
    <w:rsid w:val="00276E9D"/>
    <w:rsid w:val="00277035"/>
    <w:rsid w:val="00280018"/>
    <w:rsid w:val="00281063"/>
    <w:rsid w:val="002822E6"/>
    <w:rsid w:val="002824E9"/>
    <w:rsid w:val="00283A3B"/>
    <w:rsid w:val="00283D0B"/>
    <w:rsid w:val="00284683"/>
    <w:rsid w:val="00284707"/>
    <w:rsid w:val="002848FC"/>
    <w:rsid w:val="00284BFF"/>
    <w:rsid w:val="00284CC4"/>
    <w:rsid w:val="0028526D"/>
    <w:rsid w:val="0028562C"/>
    <w:rsid w:val="00285D3F"/>
    <w:rsid w:val="00285D89"/>
    <w:rsid w:val="00287292"/>
    <w:rsid w:val="0028784D"/>
    <w:rsid w:val="00287AFC"/>
    <w:rsid w:val="00287D59"/>
    <w:rsid w:val="0029066E"/>
    <w:rsid w:val="00290B3A"/>
    <w:rsid w:val="002926E7"/>
    <w:rsid w:val="00292A47"/>
    <w:rsid w:val="002939BC"/>
    <w:rsid w:val="00293DD1"/>
    <w:rsid w:val="002942AB"/>
    <w:rsid w:val="00295786"/>
    <w:rsid w:val="00295AA6"/>
    <w:rsid w:val="002962F4"/>
    <w:rsid w:val="00296BB4"/>
    <w:rsid w:val="00297662"/>
    <w:rsid w:val="002A0759"/>
    <w:rsid w:val="002A0E67"/>
    <w:rsid w:val="002A0EED"/>
    <w:rsid w:val="002A1B10"/>
    <w:rsid w:val="002A1BE1"/>
    <w:rsid w:val="002A2015"/>
    <w:rsid w:val="002A2283"/>
    <w:rsid w:val="002A30C1"/>
    <w:rsid w:val="002A3D9F"/>
    <w:rsid w:val="002A40A0"/>
    <w:rsid w:val="002A588A"/>
    <w:rsid w:val="002A5ADF"/>
    <w:rsid w:val="002A5D4A"/>
    <w:rsid w:val="002A6D55"/>
    <w:rsid w:val="002A6F22"/>
    <w:rsid w:val="002B0973"/>
    <w:rsid w:val="002B0AE0"/>
    <w:rsid w:val="002B168A"/>
    <w:rsid w:val="002B177A"/>
    <w:rsid w:val="002B1AB7"/>
    <w:rsid w:val="002B1CCA"/>
    <w:rsid w:val="002B2049"/>
    <w:rsid w:val="002B233D"/>
    <w:rsid w:val="002B2ACD"/>
    <w:rsid w:val="002B3587"/>
    <w:rsid w:val="002B35BC"/>
    <w:rsid w:val="002B3CDC"/>
    <w:rsid w:val="002B4519"/>
    <w:rsid w:val="002B479B"/>
    <w:rsid w:val="002B51DD"/>
    <w:rsid w:val="002B55ED"/>
    <w:rsid w:val="002B57D3"/>
    <w:rsid w:val="002B5C12"/>
    <w:rsid w:val="002B5C49"/>
    <w:rsid w:val="002B6617"/>
    <w:rsid w:val="002B6781"/>
    <w:rsid w:val="002B75B6"/>
    <w:rsid w:val="002B7A68"/>
    <w:rsid w:val="002C006A"/>
    <w:rsid w:val="002C00B5"/>
    <w:rsid w:val="002C08A5"/>
    <w:rsid w:val="002C0DFF"/>
    <w:rsid w:val="002C19DF"/>
    <w:rsid w:val="002C1E45"/>
    <w:rsid w:val="002C1FD6"/>
    <w:rsid w:val="002C21AE"/>
    <w:rsid w:val="002C321A"/>
    <w:rsid w:val="002C3D26"/>
    <w:rsid w:val="002C4100"/>
    <w:rsid w:val="002C5125"/>
    <w:rsid w:val="002C523E"/>
    <w:rsid w:val="002C5395"/>
    <w:rsid w:val="002C5E30"/>
    <w:rsid w:val="002C64F6"/>
    <w:rsid w:val="002C668D"/>
    <w:rsid w:val="002C7FB0"/>
    <w:rsid w:val="002D16ED"/>
    <w:rsid w:val="002D1C8C"/>
    <w:rsid w:val="002D347E"/>
    <w:rsid w:val="002D38DA"/>
    <w:rsid w:val="002D5004"/>
    <w:rsid w:val="002D538B"/>
    <w:rsid w:val="002D5698"/>
    <w:rsid w:val="002D58C6"/>
    <w:rsid w:val="002D6ACB"/>
    <w:rsid w:val="002D7068"/>
    <w:rsid w:val="002D7AF4"/>
    <w:rsid w:val="002E025C"/>
    <w:rsid w:val="002E1CCC"/>
    <w:rsid w:val="002E233A"/>
    <w:rsid w:val="002E235B"/>
    <w:rsid w:val="002E3424"/>
    <w:rsid w:val="002E3759"/>
    <w:rsid w:val="002E3D7E"/>
    <w:rsid w:val="002E3FFD"/>
    <w:rsid w:val="002E41F8"/>
    <w:rsid w:val="002E4303"/>
    <w:rsid w:val="002E4E52"/>
    <w:rsid w:val="002E6E25"/>
    <w:rsid w:val="002E7D28"/>
    <w:rsid w:val="002F088F"/>
    <w:rsid w:val="002F13C2"/>
    <w:rsid w:val="002F1AE9"/>
    <w:rsid w:val="002F1B85"/>
    <w:rsid w:val="002F1E5C"/>
    <w:rsid w:val="002F2E00"/>
    <w:rsid w:val="002F38CE"/>
    <w:rsid w:val="002F44E6"/>
    <w:rsid w:val="002F4B8B"/>
    <w:rsid w:val="002F5818"/>
    <w:rsid w:val="002F5CE7"/>
    <w:rsid w:val="002F6142"/>
    <w:rsid w:val="002F624B"/>
    <w:rsid w:val="002F7027"/>
    <w:rsid w:val="002F78E4"/>
    <w:rsid w:val="002F78ED"/>
    <w:rsid w:val="002F7EA5"/>
    <w:rsid w:val="00300624"/>
    <w:rsid w:val="003006C6"/>
    <w:rsid w:val="00301229"/>
    <w:rsid w:val="00301863"/>
    <w:rsid w:val="00301E26"/>
    <w:rsid w:val="003034EA"/>
    <w:rsid w:val="00304305"/>
    <w:rsid w:val="00304639"/>
    <w:rsid w:val="00305E31"/>
    <w:rsid w:val="003067EC"/>
    <w:rsid w:val="00307146"/>
    <w:rsid w:val="00310154"/>
    <w:rsid w:val="0031277D"/>
    <w:rsid w:val="00312EF0"/>
    <w:rsid w:val="0031356D"/>
    <w:rsid w:val="003139F5"/>
    <w:rsid w:val="00313A3D"/>
    <w:rsid w:val="00313E76"/>
    <w:rsid w:val="003141D1"/>
    <w:rsid w:val="003148EC"/>
    <w:rsid w:val="00315A89"/>
    <w:rsid w:val="00315E8D"/>
    <w:rsid w:val="00315EB4"/>
    <w:rsid w:val="00316DEF"/>
    <w:rsid w:val="00316DF2"/>
    <w:rsid w:val="003174F4"/>
    <w:rsid w:val="00317886"/>
    <w:rsid w:val="00317B01"/>
    <w:rsid w:val="0032168D"/>
    <w:rsid w:val="00324430"/>
    <w:rsid w:val="00324AD8"/>
    <w:rsid w:val="00324C58"/>
    <w:rsid w:val="00325D9A"/>
    <w:rsid w:val="00327364"/>
    <w:rsid w:val="00330027"/>
    <w:rsid w:val="00330424"/>
    <w:rsid w:val="003316CF"/>
    <w:rsid w:val="0033240E"/>
    <w:rsid w:val="0033275F"/>
    <w:rsid w:val="0033283F"/>
    <w:rsid w:val="00332BB7"/>
    <w:rsid w:val="00333988"/>
    <w:rsid w:val="00334587"/>
    <w:rsid w:val="003349D8"/>
    <w:rsid w:val="00335016"/>
    <w:rsid w:val="003352E9"/>
    <w:rsid w:val="00335720"/>
    <w:rsid w:val="00335C02"/>
    <w:rsid w:val="003363E6"/>
    <w:rsid w:val="00336DB7"/>
    <w:rsid w:val="0033715C"/>
    <w:rsid w:val="003378D9"/>
    <w:rsid w:val="003379EF"/>
    <w:rsid w:val="00337B11"/>
    <w:rsid w:val="00340A64"/>
    <w:rsid w:val="00341A3C"/>
    <w:rsid w:val="00341AA2"/>
    <w:rsid w:val="00341CA5"/>
    <w:rsid w:val="0034259A"/>
    <w:rsid w:val="00343186"/>
    <w:rsid w:val="00343EFE"/>
    <w:rsid w:val="00344533"/>
    <w:rsid w:val="00344EA4"/>
    <w:rsid w:val="00345181"/>
    <w:rsid w:val="00346CB9"/>
    <w:rsid w:val="003500C4"/>
    <w:rsid w:val="00350A9D"/>
    <w:rsid w:val="00351580"/>
    <w:rsid w:val="00351C9F"/>
    <w:rsid w:val="003529A0"/>
    <w:rsid w:val="003538D6"/>
    <w:rsid w:val="00353F83"/>
    <w:rsid w:val="003549F8"/>
    <w:rsid w:val="00354C27"/>
    <w:rsid w:val="0035517C"/>
    <w:rsid w:val="00355502"/>
    <w:rsid w:val="003557D4"/>
    <w:rsid w:val="00355BC4"/>
    <w:rsid w:val="00355FB7"/>
    <w:rsid w:val="00356641"/>
    <w:rsid w:val="003568D5"/>
    <w:rsid w:val="003603DB"/>
    <w:rsid w:val="003607DF"/>
    <w:rsid w:val="00361376"/>
    <w:rsid w:val="003614A8"/>
    <w:rsid w:val="00361797"/>
    <w:rsid w:val="00363BC9"/>
    <w:rsid w:val="003643C7"/>
    <w:rsid w:val="00365CE3"/>
    <w:rsid w:val="003662AD"/>
    <w:rsid w:val="003678C0"/>
    <w:rsid w:val="00367F01"/>
    <w:rsid w:val="003709C5"/>
    <w:rsid w:val="0037172A"/>
    <w:rsid w:val="00372D4C"/>
    <w:rsid w:val="003737CB"/>
    <w:rsid w:val="00373BFB"/>
    <w:rsid w:val="00374A8A"/>
    <w:rsid w:val="00375051"/>
    <w:rsid w:val="003758FB"/>
    <w:rsid w:val="00376B8A"/>
    <w:rsid w:val="00377BA8"/>
    <w:rsid w:val="003801B2"/>
    <w:rsid w:val="0038092E"/>
    <w:rsid w:val="0038098A"/>
    <w:rsid w:val="00380DC3"/>
    <w:rsid w:val="00381C23"/>
    <w:rsid w:val="00382394"/>
    <w:rsid w:val="003823B3"/>
    <w:rsid w:val="00382508"/>
    <w:rsid w:val="003829C0"/>
    <w:rsid w:val="00383B9E"/>
    <w:rsid w:val="00384321"/>
    <w:rsid w:val="003845AC"/>
    <w:rsid w:val="003845CC"/>
    <w:rsid w:val="00386470"/>
    <w:rsid w:val="0038655C"/>
    <w:rsid w:val="00386DD0"/>
    <w:rsid w:val="003873CF"/>
    <w:rsid w:val="00387EF8"/>
    <w:rsid w:val="00391392"/>
    <w:rsid w:val="003928EB"/>
    <w:rsid w:val="0039351F"/>
    <w:rsid w:val="00394EAC"/>
    <w:rsid w:val="003955B8"/>
    <w:rsid w:val="00395CD8"/>
    <w:rsid w:val="00395ED5"/>
    <w:rsid w:val="003967A9"/>
    <w:rsid w:val="003968D4"/>
    <w:rsid w:val="00396BAE"/>
    <w:rsid w:val="0039700E"/>
    <w:rsid w:val="003972C8"/>
    <w:rsid w:val="003A0278"/>
    <w:rsid w:val="003A08FF"/>
    <w:rsid w:val="003A0E65"/>
    <w:rsid w:val="003A106A"/>
    <w:rsid w:val="003A10C7"/>
    <w:rsid w:val="003A157A"/>
    <w:rsid w:val="003A2620"/>
    <w:rsid w:val="003A2955"/>
    <w:rsid w:val="003A29B5"/>
    <w:rsid w:val="003A3EF8"/>
    <w:rsid w:val="003A4A33"/>
    <w:rsid w:val="003A5107"/>
    <w:rsid w:val="003A53E1"/>
    <w:rsid w:val="003A57A6"/>
    <w:rsid w:val="003A5C1C"/>
    <w:rsid w:val="003A5D62"/>
    <w:rsid w:val="003A5EBA"/>
    <w:rsid w:val="003A690D"/>
    <w:rsid w:val="003A7157"/>
    <w:rsid w:val="003A73C9"/>
    <w:rsid w:val="003A791D"/>
    <w:rsid w:val="003B0166"/>
    <w:rsid w:val="003B0347"/>
    <w:rsid w:val="003B054B"/>
    <w:rsid w:val="003B0FB4"/>
    <w:rsid w:val="003B1822"/>
    <w:rsid w:val="003B2170"/>
    <w:rsid w:val="003B27C0"/>
    <w:rsid w:val="003B3AE1"/>
    <w:rsid w:val="003B40C6"/>
    <w:rsid w:val="003B4D24"/>
    <w:rsid w:val="003B51BE"/>
    <w:rsid w:val="003B56A2"/>
    <w:rsid w:val="003B6592"/>
    <w:rsid w:val="003B6953"/>
    <w:rsid w:val="003B6CCC"/>
    <w:rsid w:val="003B7793"/>
    <w:rsid w:val="003B7BB0"/>
    <w:rsid w:val="003C098C"/>
    <w:rsid w:val="003C112A"/>
    <w:rsid w:val="003C140D"/>
    <w:rsid w:val="003C38AA"/>
    <w:rsid w:val="003C49C4"/>
    <w:rsid w:val="003C50E6"/>
    <w:rsid w:val="003C68F2"/>
    <w:rsid w:val="003C731D"/>
    <w:rsid w:val="003C75E3"/>
    <w:rsid w:val="003C7AEF"/>
    <w:rsid w:val="003C7D9A"/>
    <w:rsid w:val="003D0B2C"/>
    <w:rsid w:val="003D1C42"/>
    <w:rsid w:val="003D20CB"/>
    <w:rsid w:val="003D2419"/>
    <w:rsid w:val="003D262E"/>
    <w:rsid w:val="003D31B7"/>
    <w:rsid w:val="003D39C3"/>
    <w:rsid w:val="003D3B5E"/>
    <w:rsid w:val="003D4CF1"/>
    <w:rsid w:val="003D5E14"/>
    <w:rsid w:val="003D63BC"/>
    <w:rsid w:val="003D75F1"/>
    <w:rsid w:val="003D76CD"/>
    <w:rsid w:val="003D7C3D"/>
    <w:rsid w:val="003E0DEA"/>
    <w:rsid w:val="003E290D"/>
    <w:rsid w:val="003E3FF7"/>
    <w:rsid w:val="003E589A"/>
    <w:rsid w:val="003E6BE5"/>
    <w:rsid w:val="003E7091"/>
    <w:rsid w:val="003F0C3D"/>
    <w:rsid w:val="003F1048"/>
    <w:rsid w:val="003F1629"/>
    <w:rsid w:val="003F2E1A"/>
    <w:rsid w:val="004010F9"/>
    <w:rsid w:val="00401374"/>
    <w:rsid w:val="00402F96"/>
    <w:rsid w:val="00404B1F"/>
    <w:rsid w:val="00406004"/>
    <w:rsid w:val="00406097"/>
    <w:rsid w:val="00406775"/>
    <w:rsid w:val="00406DCB"/>
    <w:rsid w:val="0040725E"/>
    <w:rsid w:val="00407502"/>
    <w:rsid w:val="00407D58"/>
    <w:rsid w:val="00410090"/>
    <w:rsid w:val="0041063A"/>
    <w:rsid w:val="004116FD"/>
    <w:rsid w:val="00411B19"/>
    <w:rsid w:val="00413F82"/>
    <w:rsid w:val="0041429B"/>
    <w:rsid w:val="0041470F"/>
    <w:rsid w:val="00416072"/>
    <w:rsid w:val="00417B74"/>
    <w:rsid w:val="00421109"/>
    <w:rsid w:val="00422848"/>
    <w:rsid w:val="00422A21"/>
    <w:rsid w:val="00422A53"/>
    <w:rsid w:val="00423234"/>
    <w:rsid w:val="00423F8A"/>
    <w:rsid w:val="0042437E"/>
    <w:rsid w:val="00425075"/>
    <w:rsid w:val="004256A2"/>
    <w:rsid w:val="004259AC"/>
    <w:rsid w:val="0042683A"/>
    <w:rsid w:val="00430378"/>
    <w:rsid w:val="00432518"/>
    <w:rsid w:val="00433025"/>
    <w:rsid w:val="00433190"/>
    <w:rsid w:val="00435CCF"/>
    <w:rsid w:val="00436BF1"/>
    <w:rsid w:val="00436ED4"/>
    <w:rsid w:val="004378B0"/>
    <w:rsid w:val="00441065"/>
    <w:rsid w:val="004420BE"/>
    <w:rsid w:val="004423CE"/>
    <w:rsid w:val="0044248C"/>
    <w:rsid w:val="00442708"/>
    <w:rsid w:val="004429B0"/>
    <w:rsid w:val="00442A9D"/>
    <w:rsid w:val="00443134"/>
    <w:rsid w:val="00443C09"/>
    <w:rsid w:val="00443DFD"/>
    <w:rsid w:val="00443F00"/>
    <w:rsid w:val="00444496"/>
    <w:rsid w:val="0044538D"/>
    <w:rsid w:val="00445D0E"/>
    <w:rsid w:val="00447236"/>
    <w:rsid w:val="00447829"/>
    <w:rsid w:val="004478D3"/>
    <w:rsid w:val="00447DE0"/>
    <w:rsid w:val="004506EB"/>
    <w:rsid w:val="00450B72"/>
    <w:rsid w:val="004516DF"/>
    <w:rsid w:val="00451C96"/>
    <w:rsid w:val="00451F8F"/>
    <w:rsid w:val="0045211A"/>
    <w:rsid w:val="00452B40"/>
    <w:rsid w:val="00452C24"/>
    <w:rsid w:val="004542EB"/>
    <w:rsid w:val="004548DD"/>
    <w:rsid w:val="00454C1D"/>
    <w:rsid w:val="004551F5"/>
    <w:rsid w:val="00455AE5"/>
    <w:rsid w:val="00455F7B"/>
    <w:rsid w:val="00455FE0"/>
    <w:rsid w:val="0045664A"/>
    <w:rsid w:val="00457CF2"/>
    <w:rsid w:val="00462D10"/>
    <w:rsid w:val="00463B94"/>
    <w:rsid w:val="004643DF"/>
    <w:rsid w:val="0046448A"/>
    <w:rsid w:val="004658AD"/>
    <w:rsid w:val="00466187"/>
    <w:rsid w:val="00466550"/>
    <w:rsid w:val="0046701B"/>
    <w:rsid w:val="004679A5"/>
    <w:rsid w:val="004704FC"/>
    <w:rsid w:val="004712A6"/>
    <w:rsid w:val="004724AC"/>
    <w:rsid w:val="0047296F"/>
    <w:rsid w:val="00473A45"/>
    <w:rsid w:val="00474518"/>
    <w:rsid w:val="00475203"/>
    <w:rsid w:val="00475C05"/>
    <w:rsid w:val="00476C39"/>
    <w:rsid w:val="00476D65"/>
    <w:rsid w:val="00477019"/>
    <w:rsid w:val="0047743A"/>
    <w:rsid w:val="00477AB3"/>
    <w:rsid w:val="00477D46"/>
    <w:rsid w:val="00480E49"/>
    <w:rsid w:val="00480F5A"/>
    <w:rsid w:val="0048139F"/>
    <w:rsid w:val="00481998"/>
    <w:rsid w:val="00481C34"/>
    <w:rsid w:val="004832BF"/>
    <w:rsid w:val="00485548"/>
    <w:rsid w:val="00485FC2"/>
    <w:rsid w:val="0048680C"/>
    <w:rsid w:val="00486AD0"/>
    <w:rsid w:val="00486B3B"/>
    <w:rsid w:val="0048744C"/>
    <w:rsid w:val="004874C9"/>
    <w:rsid w:val="00490595"/>
    <w:rsid w:val="00490E7D"/>
    <w:rsid w:val="0049218D"/>
    <w:rsid w:val="0049229B"/>
    <w:rsid w:val="00492D8C"/>
    <w:rsid w:val="004950BF"/>
    <w:rsid w:val="004951EE"/>
    <w:rsid w:val="0049593D"/>
    <w:rsid w:val="00496156"/>
    <w:rsid w:val="00496A9B"/>
    <w:rsid w:val="00496B07"/>
    <w:rsid w:val="00497C56"/>
    <w:rsid w:val="00497DB5"/>
    <w:rsid w:val="00497E3E"/>
    <w:rsid w:val="004A02B0"/>
    <w:rsid w:val="004A0342"/>
    <w:rsid w:val="004A0688"/>
    <w:rsid w:val="004A0D6F"/>
    <w:rsid w:val="004A0DE2"/>
    <w:rsid w:val="004A0EB8"/>
    <w:rsid w:val="004A2453"/>
    <w:rsid w:val="004A4144"/>
    <w:rsid w:val="004A42E9"/>
    <w:rsid w:val="004A51FD"/>
    <w:rsid w:val="004A6165"/>
    <w:rsid w:val="004A630D"/>
    <w:rsid w:val="004A7675"/>
    <w:rsid w:val="004B2E51"/>
    <w:rsid w:val="004B4084"/>
    <w:rsid w:val="004B50B2"/>
    <w:rsid w:val="004B62F2"/>
    <w:rsid w:val="004B63F6"/>
    <w:rsid w:val="004C23A4"/>
    <w:rsid w:val="004C3271"/>
    <w:rsid w:val="004C412E"/>
    <w:rsid w:val="004C45C2"/>
    <w:rsid w:val="004C49F2"/>
    <w:rsid w:val="004C507A"/>
    <w:rsid w:val="004C5278"/>
    <w:rsid w:val="004C71F2"/>
    <w:rsid w:val="004C7E62"/>
    <w:rsid w:val="004D08DB"/>
    <w:rsid w:val="004D1C6B"/>
    <w:rsid w:val="004D2BD4"/>
    <w:rsid w:val="004D3282"/>
    <w:rsid w:val="004D3563"/>
    <w:rsid w:val="004D390A"/>
    <w:rsid w:val="004D5FF7"/>
    <w:rsid w:val="004D6182"/>
    <w:rsid w:val="004D664D"/>
    <w:rsid w:val="004D6C1E"/>
    <w:rsid w:val="004D6D18"/>
    <w:rsid w:val="004D6F92"/>
    <w:rsid w:val="004D74C3"/>
    <w:rsid w:val="004E037A"/>
    <w:rsid w:val="004E1272"/>
    <w:rsid w:val="004E15B3"/>
    <w:rsid w:val="004E36A3"/>
    <w:rsid w:val="004E5113"/>
    <w:rsid w:val="004E580D"/>
    <w:rsid w:val="004E62EE"/>
    <w:rsid w:val="004E6FA8"/>
    <w:rsid w:val="004E7432"/>
    <w:rsid w:val="004E7DBE"/>
    <w:rsid w:val="004F0135"/>
    <w:rsid w:val="004F0548"/>
    <w:rsid w:val="004F07C1"/>
    <w:rsid w:val="004F1359"/>
    <w:rsid w:val="004F225F"/>
    <w:rsid w:val="004F31AD"/>
    <w:rsid w:val="004F3A13"/>
    <w:rsid w:val="004F49B3"/>
    <w:rsid w:val="004F5A2F"/>
    <w:rsid w:val="004F6324"/>
    <w:rsid w:val="004F65D1"/>
    <w:rsid w:val="004F6871"/>
    <w:rsid w:val="004F688A"/>
    <w:rsid w:val="004F6BA3"/>
    <w:rsid w:val="004F6D77"/>
    <w:rsid w:val="004F6FBA"/>
    <w:rsid w:val="004F7398"/>
    <w:rsid w:val="004F7D18"/>
    <w:rsid w:val="00501668"/>
    <w:rsid w:val="0050247D"/>
    <w:rsid w:val="005025AF"/>
    <w:rsid w:val="00502634"/>
    <w:rsid w:val="005027DF"/>
    <w:rsid w:val="005035FB"/>
    <w:rsid w:val="00503E9D"/>
    <w:rsid w:val="00504E65"/>
    <w:rsid w:val="005050BC"/>
    <w:rsid w:val="00505E3C"/>
    <w:rsid w:val="005060A7"/>
    <w:rsid w:val="00507352"/>
    <w:rsid w:val="00510C08"/>
    <w:rsid w:val="00510F84"/>
    <w:rsid w:val="00511473"/>
    <w:rsid w:val="005122D8"/>
    <w:rsid w:val="00514911"/>
    <w:rsid w:val="005156C4"/>
    <w:rsid w:val="0051672C"/>
    <w:rsid w:val="005202FC"/>
    <w:rsid w:val="005206F2"/>
    <w:rsid w:val="005213C7"/>
    <w:rsid w:val="00521FBC"/>
    <w:rsid w:val="00524B95"/>
    <w:rsid w:val="00525FE3"/>
    <w:rsid w:val="00527D8C"/>
    <w:rsid w:val="005307F8"/>
    <w:rsid w:val="005309C3"/>
    <w:rsid w:val="00531992"/>
    <w:rsid w:val="00531CB7"/>
    <w:rsid w:val="005325BE"/>
    <w:rsid w:val="005331EB"/>
    <w:rsid w:val="00533222"/>
    <w:rsid w:val="00534969"/>
    <w:rsid w:val="00534D51"/>
    <w:rsid w:val="0053510A"/>
    <w:rsid w:val="0053543B"/>
    <w:rsid w:val="005366D8"/>
    <w:rsid w:val="0053705B"/>
    <w:rsid w:val="00537636"/>
    <w:rsid w:val="00537674"/>
    <w:rsid w:val="00537F02"/>
    <w:rsid w:val="005407D3"/>
    <w:rsid w:val="00540BD0"/>
    <w:rsid w:val="00540DD2"/>
    <w:rsid w:val="00542424"/>
    <w:rsid w:val="00543770"/>
    <w:rsid w:val="0054380D"/>
    <w:rsid w:val="00544E22"/>
    <w:rsid w:val="00545036"/>
    <w:rsid w:val="005457FC"/>
    <w:rsid w:val="00545DA5"/>
    <w:rsid w:val="00546385"/>
    <w:rsid w:val="005474B6"/>
    <w:rsid w:val="00547813"/>
    <w:rsid w:val="00547A37"/>
    <w:rsid w:val="00547E8C"/>
    <w:rsid w:val="00551E71"/>
    <w:rsid w:val="00551F9E"/>
    <w:rsid w:val="00552082"/>
    <w:rsid w:val="00553789"/>
    <w:rsid w:val="005544A8"/>
    <w:rsid w:val="005546F6"/>
    <w:rsid w:val="00554F81"/>
    <w:rsid w:val="00555312"/>
    <w:rsid w:val="00557EDE"/>
    <w:rsid w:val="0056062C"/>
    <w:rsid w:val="00560C63"/>
    <w:rsid w:val="005621D4"/>
    <w:rsid w:val="00562CDF"/>
    <w:rsid w:val="00564031"/>
    <w:rsid w:val="00565720"/>
    <w:rsid w:val="00566BC8"/>
    <w:rsid w:val="00567F9E"/>
    <w:rsid w:val="0057010F"/>
    <w:rsid w:val="005703D7"/>
    <w:rsid w:val="005721BD"/>
    <w:rsid w:val="00572E61"/>
    <w:rsid w:val="00573C50"/>
    <w:rsid w:val="0057427C"/>
    <w:rsid w:val="00574842"/>
    <w:rsid w:val="0057611B"/>
    <w:rsid w:val="00576E5D"/>
    <w:rsid w:val="0057717C"/>
    <w:rsid w:val="0057719A"/>
    <w:rsid w:val="005801E8"/>
    <w:rsid w:val="005804C8"/>
    <w:rsid w:val="00583552"/>
    <w:rsid w:val="00584567"/>
    <w:rsid w:val="005853C0"/>
    <w:rsid w:val="005859F8"/>
    <w:rsid w:val="00585C17"/>
    <w:rsid w:val="0058668C"/>
    <w:rsid w:val="00587100"/>
    <w:rsid w:val="005902A0"/>
    <w:rsid w:val="00591AA6"/>
    <w:rsid w:val="00592EDA"/>
    <w:rsid w:val="00594696"/>
    <w:rsid w:val="00594F22"/>
    <w:rsid w:val="0059502B"/>
    <w:rsid w:val="0059598C"/>
    <w:rsid w:val="005967C4"/>
    <w:rsid w:val="005970E2"/>
    <w:rsid w:val="00597374"/>
    <w:rsid w:val="00597D57"/>
    <w:rsid w:val="005A00C5"/>
    <w:rsid w:val="005A0237"/>
    <w:rsid w:val="005A05C4"/>
    <w:rsid w:val="005A11DE"/>
    <w:rsid w:val="005A1221"/>
    <w:rsid w:val="005A13BE"/>
    <w:rsid w:val="005A1C35"/>
    <w:rsid w:val="005A2549"/>
    <w:rsid w:val="005A264C"/>
    <w:rsid w:val="005A2C52"/>
    <w:rsid w:val="005A2DF7"/>
    <w:rsid w:val="005A3850"/>
    <w:rsid w:val="005A4559"/>
    <w:rsid w:val="005A4E9D"/>
    <w:rsid w:val="005A4F19"/>
    <w:rsid w:val="005A5478"/>
    <w:rsid w:val="005A60D6"/>
    <w:rsid w:val="005A695E"/>
    <w:rsid w:val="005A6E32"/>
    <w:rsid w:val="005A726C"/>
    <w:rsid w:val="005A7617"/>
    <w:rsid w:val="005A7A3B"/>
    <w:rsid w:val="005A7F7F"/>
    <w:rsid w:val="005B087F"/>
    <w:rsid w:val="005B0975"/>
    <w:rsid w:val="005B1F0B"/>
    <w:rsid w:val="005B2A3D"/>
    <w:rsid w:val="005B2A8B"/>
    <w:rsid w:val="005B2CF6"/>
    <w:rsid w:val="005B425A"/>
    <w:rsid w:val="005B4B87"/>
    <w:rsid w:val="005B5769"/>
    <w:rsid w:val="005B6169"/>
    <w:rsid w:val="005B65A8"/>
    <w:rsid w:val="005B666F"/>
    <w:rsid w:val="005B6E7E"/>
    <w:rsid w:val="005B7788"/>
    <w:rsid w:val="005C070B"/>
    <w:rsid w:val="005C1172"/>
    <w:rsid w:val="005C1CC0"/>
    <w:rsid w:val="005C2C1A"/>
    <w:rsid w:val="005C3649"/>
    <w:rsid w:val="005C4121"/>
    <w:rsid w:val="005C42E2"/>
    <w:rsid w:val="005C5C94"/>
    <w:rsid w:val="005C6227"/>
    <w:rsid w:val="005C703E"/>
    <w:rsid w:val="005D0601"/>
    <w:rsid w:val="005D0677"/>
    <w:rsid w:val="005D089C"/>
    <w:rsid w:val="005D0D56"/>
    <w:rsid w:val="005D426B"/>
    <w:rsid w:val="005D4596"/>
    <w:rsid w:val="005D5343"/>
    <w:rsid w:val="005D5849"/>
    <w:rsid w:val="005D5A53"/>
    <w:rsid w:val="005D67AC"/>
    <w:rsid w:val="005D7588"/>
    <w:rsid w:val="005E01C4"/>
    <w:rsid w:val="005E0323"/>
    <w:rsid w:val="005E07C6"/>
    <w:rsid w:val="005E082C"/>
    <w:rsid w:val="005E0963"/>
    <w:rsid w:val="005E115E"/>
    <w:rsid w:val="005E2113"/>
    <w:rsid w:val="005E2285"/>
    <w:rsid w:val="005E25D1"/>
    <w:rsid w:val="005E2AB1"/>
    <w:rsid w:val="005E2D9F"/>
    <w:rsid w:val="005E3F8C"/>
    <w:rsid w:val="005E41B3"/>
    <w:rsid w:val="005E4218"/>
    <w:rsid w:val="005E4420"/>
    <w:rsid w:val="005E54E1"/>
    <w:rsid w:val="005E5D06"/>
    <w:rsid w:val="005E5D9B"/>
    <w:rsid w:val="005E5E1C"/>
    <w:rsid w:val="005E66DB"/>
    <w:rsid w:val="005E6888"/>
    <w:rsid w:val="005E791A"/>
    <w:rsid w:val="005F036C"/>
    <w:rsid w:val="005F0E41"/>
    <w:rsid w:val="005F14FD"/>
    <w:rsid w:val="005F1A7C"/>
    <w:rsid w:val="005F1DC3"/>
    <w:rsid w:val="005F2D06"/>
    <w:rsid w:val="005F339B"/>
    <w:rsid w:val="005F3864"/>
    <w:rsid w:val="005F3E5E"/>
    <w:rsid w:val="005F45CB"/>
    <w:rsid w:val="005F49DF"/>
    <w:rsid w:val="005F4E20"/>
    <w:rsid w:val="005F5A09"/>
    <w:rsid w:val="005F61F3"/>
    <w:rsid w:val="005F7295"/>
    <w:rsid w:val="005F76E5"/>
    <w:rsid w:val="00600141"/>
    <w:rsid w:val="00600253"/>
    <w:rsid w:val="0060038C"/>
    <w:rsid w:val="00601362"/>
    <w:rsid w:val="0060337D"/>
    <w:rsid w:val="00603566"/>
    <w:rsid w:val="00603F0B"/>
    <w:rsid w:val="00605465"/>
    <w:rsid w:val="00605B8D"/>
    <w:rsid w:val="006060AE"/>
    <w:rsid w:val="006072A5"/>
    <w:rsid w:val="0060780E"/>
    <w:rsid w:val="00607B3B"/>
    <w:rsid w:val="00607CAB"/>
    <w:rsid w:val="00610F6D"/>
    <w:rsid w:val="006115EC"/>
    <w:rsid w:val="0061173D"/>
    <w:rsid w:val="00611C90"/>
    <w:rsid w:val="0061214C"/>
    <w:rsid w:val="00612359"/>
    <w:rsid w:val="006125C5"/>
    <w:rsid w:val="00613399"/>
    <w:rsid w:val="0061402E"/>
    <w:rsid w:val="006146A9"/>
    <w:rsid w:val="00614E3A"/>
    <w:rsid w:val="006151ED"/>
    <w:rsid w:val="0061671F"/>
    <w:rsid w:val="006171BB"/>
    <w:rsid w:val="0061720A"/>
    <w:rsid w:val="006172CD"/>
    <w:rsid w:val="006179A5"/>
    <w:rsid w:val="00617A43"/>
    <w:rsid w:val="00617E6E"/>
    <w:rsid w:val="006203D8"/>
    <w:rsid w:val="00621FD4"/>
    <w:rsid w:val="00622288"/>
    <w:rsid w:val="0062321C"/>
    <w:rsid w:val="00624549"/>
    <w:rsid w:val="006258B7"/>
    <w:rsid w:val="00625932"/>
    <w:rsid w:val="006259FF"/>
    <w:rsid w:val="00627B3D"/>
    <w:rsid w:val="00631429"/>
    <w:rsid w:val="0063293C"/>
    <w:rsid w:val="00635008"/>
    <w:rsid w:val="0063561F"/>
    <w:rsid w:val="0063653C"/>
    <w:rsid w:val="00636663"/>
    <w:rsid w:val="00636BB5"/>
    <w:rsid w:val="006372D6"/>
    <w:rsid w:val="0063747D"/>
    <w:rsid w:val="006374D8"/>
    <w:rsid w:val="00640ECF"/>
    <w:rsid w:val="00641652"/>
    <w:rsid w:val="00641F11"/>
    <w:rsid w:val="006427E6"/>
    <w:rsid w:val="006429E7"/>
    <w:rsid w:val="006432BD"/>
    <w:rsid w:val="006434F5"/>
    <w:rsid w:val="0064472A"/>
    <w:rsid w:val="0064567C"/>
    <w:rsid w:val="00645DF4"/>
    <w:rsid w:val="006463A0"/>
    <w:rsid w:val="00646E4C"/>
    <w:rsid w:val="006500E5"/>
    <w:rsid w:val="0065024D"/>
    <w:rsid w:val="00650CB8"/>
    <w:rsid w:val="006517D8"/>
    <w:rsid w:val="00651C2B"/>
    <w:rsid w:val="00652122"/>
    <w:rsid w:val="006522CE"/>
    <w:rsid w:val="006523D9"/>
    <w:rsid w:val="00652450"/>
    <w:rsid w:val="00652C38"/>
    <w:rsid w:val="00652E41"/>
    <w:rsid w:val="00653ABD"/>
    <w:rsid w:val="00653BC6"/>
    <w:rsid w:val="0065417B"/>
    <w:rsid w:val="00654597"/>
    <w:rsid w:val="00655039"/>
    <w:rsid w:val="0065518F"/>
    <w:rsid w:val="0065562A"/>
    <w:rsid w:val="00657AEC"/>
    <w:rsid w:val="00661251"/>
    <w:rsid w:val="00661FAE"/>
    <w:rsid w:val="00663519"/>
    <w:rsid w:val="00663759"/>
    <w:rsid w:val="00663BBC"/>
    <w:rsid w:val="00663F0E"/>
    <w:rsid w:val="0066418D"/>
    <w:rsid w:val="00664537"/>
    <w:rsid w:val="00666307"/>
    <w:rsid w:val="0066669E"/>
    <w:rsid w:val="006666A2"/>
    <w:rsid w:val="00667D37"/>
    <w:rsid w:val="00667F33"/>
    <w:rsid w:val="00670290"/>
    <w:rsid w:val="00670BB0"/>
    <w:rsid w:val="006718CB"/>
    <w:rsid w:val="0067297F"/>
    <w:rsid w:val="00672BD3"/>
    <w:rsid w:val="00674844"/>
    <w:rsid w:val="006751A0"/>
    <w:rsid w:val="006753F8"/>
    <w:rsid w:val="006766F7"/>
    <w:rsid w:val="00676978"/>
    <w:rsid w:val="00680BB7"/>
    <w:rsid w:val="00681034"/>
    <w:rsid w:val="006811C3"/>
    <w:rsid w:val="006818F1"/>
    <w:rsid w:val="00681D43"/>
    <w:rsid w:val="00682624"/>
    <w:rsid w:val="00682E4B"/>
    <w:rsid w:val="00683912"/>
    <w:rsid w:val="00684F76"/>
    <w:rsid w:val="006851C9"/>
    <w:rsid w:val="00685564"/>
    <w:rsid w:val="006863A0"/>
    <w:rsid w:val="00687292"/>
    <w:rsid w:val="00687623"/>
    <w:rsid w:val="00687DF4"/>
    <w:rsid w:val="00687E7F"/>
    <w:rsid w:val="0069155A"/>
    <w:rsid w:val="00691940"/>
    <w:rsid w:val="0069229F"/>
    <w:rsid w:val="0069293F"/>
    <w:rsid w:val="006929DA"/>
    <w:rsid w:val="00692A6C"/>
    <w:rsid w:val="00693752"/>
    <w:rsid w:val="00693DA0"/>
    <w:rsid w:val="00694281"/>
    <w:rsid w:val="006944F6"/>
    <w:rsid w:val="006948A7"/>
    <w:rsid w:val="006955C2"/>
    <w:rsid w:val="00696417"/>
    <w:rsid w:val="00696F9D"/>
    <w:rsid w:val="00697441"/>
    <w:rsid w:val="006975D2"/>
    <w:rsid w:val="006A0138"/>
    <w:rsid w:val="006A1061"/>
    <w:rsid w:val="006A1085"/>
    <w:rsid w:val="006A1204"/>
    <w:rsid w:val="006A1A8A"/>
    <w:rsid w:val="006A2F5C"/>
    <w:rsid w:val="006A2FA9"/>
    <w:rsid w:val="006A35C5"/>
    <w:rsid w:val="006A369D"/>
    <w:rsid w:val="006A4733"/>
    <w:rsid w:val="006A4B52"/>
    <w:rsid w:val="006A6BA7"/>
    <w:rsid w:val="006B02C9"/>
    <w:rsid w:val="006B1086"/>
    <w:rsid w:val="006B27BB"/>
    <w:rsid w:val="006B28FF"/>
    <w:rsid w:val="006B4396"/>
    <w:rsid w:val="006B43A8"/>
    <w:rsid w:val="006B4D0F"/>
    <w:rsid w:val="006B5D4B"/>
    <w:rsid w:val="006B6266"/>
    <w:rsid w:val="006B633C"/>
    <w:rsid w:val="006B63F8"/>
    <w:rsid w:val="006C0057"/>
    <w:rsid w:val="006C0A0E"/>
    <w:rsid w:val="006C14AA"/>
    <w:rsid w:val="006C14AC"/>
    <w:rsid w:val="006C4452"/>
    <w:rsid w:val="006C4811"/>
    <w:rsid w:val="006C569C"/>
    <w:rsid w:val="006C5ED7"/>
    <w:rsid w:val="006C6189"/>
    <w:rsid w:val="006C6237"/>
    <w:rsid w:val="006C62C8"/>
    <w:rsid w:val="006C6423"/>
    <w:rsid w:val="006C68AC"/>
    <w:rsid w:val="006C6BDA"/>
    <w:rsid w:val="006C6EFA"/>
    <w:rsid w:val="006C705C"/>
    <w:rsid w:val="006D1282"/>
    <w:rsid w:val="006D1765"/>
    <w:rsid w:val="006D18A0"/>
    <w:rsid w:val="006D31B2"/>
    <w:rsid w:val="006D3E27"/>
    <w:rsid w:val="006D4D31"/>
    <w:rsid w:val="006D5962"/>
    <w:rsid w:val="006D5A49"/>
    <w:rsid w:val="006D7A4A"/>
    <w:rsid w:val="006D7FB5"/>
    <w:rsid w:val="006E04B1"/>
    <w:rsid w:val="006E2496"/>
    <w:rsid w:val="006E28AB"/>
    <w:rsid w:val="006E32F2"/>
    <w:rsid w:val="006E362B"/>
    <w:rsid w:val="006E443B"/>
    <w:rsid w:val="006E4517"/>
    <w:rsid w:val="006E4AE5"/>
    <w:rsid w:val="006E4EE3"/>
    <w:rsid w:val="006E54EB"/>
    <w:rsid w:val="006E6E9A"/>
    <w:rsid w:val="006E757A"/>
    <w:rsid w:val="006E7960"/>
    <w:rsid w:val="006F0340"/>
    <w:rsid w:val="006F2227"/>
    <w:rsid w:val="006F3763"/>
    <w:rsid w:val="006F4E2B"/>
    <w:rsid w:val="006F50E6"/>
    <w:rsid w:val="006F5579"/>
    <w:rsid w:val="006F558F"/>
    <w:rsid w:val="006F5685"/>
    <w:rsid w:val="006F5B4B"/>
    <w:rsid w:val="006F5F7D"/>
    <w:rsid w:val="006F76FD"/>
    <w:rsid w:val="00700356"/>
    <w:rsid w:val="0070036A"/>
    <w:rsid w:val="0070101D"/>
    <w:rsid w:val="00701315"/>
    <w:rsid w:val="00701BB7"/>
    <w:rsid w:val="00702550"/>
    <w:rsid w:val="00702DAE"/>
    <w:rsid w:val="00703783"/>
    <w:rsid w:val="0070379B"/>
    <w:rsid w:val="00703AF7"/>
    <w:rsid w:val="007043D4"/>
    <w:rsid w:val="00704908"/>
    <w:rsid w:val="00704AAB"/>
    <w:rsid w:val="00706203"/>
    <w:rsid w:val="007072C2"/>
    <w:rsid w:val="007076F2"/>
    <w:rsid w:val="007076F7"/>
    <w:rsid w:val="00707BB9"/>
    <w:rsid w:val="00711EB4"/>
    <w:rsid w:val="00712171"/>
    <w:rsid w:val="007122FA"/>
    <w:rsid w:val="0071272A"/>
    <w:rsid w:val="00712927"/>
    <w:rsid w:val="0071482B"/>
    <w:rsid w:val="00714ADB"/>
    <w:rsid w:val="00716420"/>
    <w:rsid w:val="00717465"/>
    <w:rsid w:val="00717C2B"/>
    <w:rsid w:val="007204B6"/>
    <w:rsid w:val="00720D5B"/>
    <w:rsid w:val="007217A5"/>
    <w:rsid w:val="00722800"/>
    <w:rsid w:val="00722B88"/>
    <w:rsid w:val="00722F76"/>
    <w:rsid w:val="007240D7"/>
    <w:rsid w:val="0072441D"/>
    <w:rsid w:val="007248EE"/>
    <w:rsid w:val="00724DD8"/>
    <w:rsid w:val="00726162"/>
    <w:rsid w:val="007272CD"/>
    <w:rsid w:val="0072748A"/>
    <w:rsid w:val="00727527"/>
    <w:rsid w:val="00727C51"/>
    <w:rsid w:val="00727E4F"/>
    <w:rsid w:val="007304CC"/>
    <w:rsid w:val="007309F2"/>
    <w:rsid w:val="00730A26"/>
    <w:rsid w:val="0073265A"/>
    <w:rsid w:val="00733A15"/>
    <w:rsid w:val="00734170"/>
    <w:rsid w:val="0073427B"/>
    <w:rsid w:val="0073532C"/>
    <w:rsid w:val="00736689"/>
    <w:rsid w:val="0073675F"/>
    <w:rsid w:val="00737680"/>
    <w:rsid w:val="007400B3"/>
    <w:rsid w:val="00740440"/>
    <w:rsid w:val="0074076F"/>
    <w:rsid w:val="00741070"/>
    <w:rsid w:val="00741910"/>
    <w:rsid w:val="0074214C"/>
    <w:rsid w:val="007424E5"/>
    <w:rsid w:val="007426C0"/>
    <w:rsid w:val="007442A9"/>
    <w:rsid w:val="0074449D"/>
    <w:rsid w:val="007452A4"/>
    <w:rsid w:val="00745868"/>
    <w:rsid w:val="0074634A"/>
    <w:rsid w:val="0074687D"/>
    <w:rsid w:val="00746935"/>
    <w:rsid w:val="00746FDD"/>
    <w:rsid w:val="007479A4"/>
    <w:rsid w:val="00747D6D"/>
    <w:rsid w:val="00753106"/>
    <w:rsid w:val="00753864"/>
    <w:rsid w:val="007549A3"/>
    <w:rsid w:val="00756567"/>
    <w:rsid w:val="00757383"/>
    <w:rsid w:val="00757F4F"/>
    <w:rsid w:val="007605B7"/>
    <w:rsid w:val="007615FF"/>
    <w:rsid w:val="00761EDA"/>
    <w:rsid w:val="00762CE7"/>
    <w:rsid w:val="00763099"/>
    <w:rsid w:val="0076380C"/>
    <w:rsid w:val="00763D45"/>
    <w:rsid w:val="00765578"/>
    <w:rsid w:val="00765638"/>
    <w:rsid w:val="00766E1C"/>
    <w:rsid w:val="0077082C"/>
    <w:rsid w:val="00771C5A"/>
    <w:rsid w:val="0077270D"/>
    <w:rsid w:val="00772741"/>
    <w:rsid w:val="007737A3"/>
    <w:rsid w:val="007748BA"/>
    <w:rsid w:val="007749F2"/>
    <w:rsid w:val="00775B64"/>
    <w:rsid w:val="00776455"/>
    <w:rsid w:val="00776755"/>
    <w:rsid w:val="00776C6D"/>
    <w:rsid w:val="007770A5"/>
    <w:rsid w:val="00777387"/>
    <w:rsid w:val="007775C4"/>
    <w:rsid w:val="007775DE"/>
    <w:rsid w:val="00781273"/>
    <w:rsid w:val="00781361"/>
    <w:rsid w:val="007815C9"/>
    <w:rsid w:val="00781D9C"/>
    <w:rsid w:val="00782439"/>
    <w:rsid w:val="007829D1"/>
    <w:rsid w:val="007831B7"/>
    <w:rsid w:val="00783400"/>
    <w:rsid w:val="00783412"/>
    <w:rsid w:val="00785A47"/>
    <w:rsid w:val="00785A7A"/>
    <w:rsid w:val="007864F0"/>
    <w:rsid w:val="007865D2"/>
    <w:rsid w:val="00787027"/>
    <w:rsid w:val="00790008"/>
    <w:rsid w:val="007909D7"/>
    <w:rsid w:val="00790DF3"/>
    <w:rsid w:val="007914B7"/>
    <w:rsid w:val="007916F0"/>
    <w:rsid w:val="00791DA9"/>
    <w:rsid w:val="007922A9"/>
    <w:rsid w:val="00792F04"/>
    <w:rsid w:val="00793788"/>
    <w:rsid w:val="00793B4C"/>
    <w:rsid w:val="007947DC"/>
    <w:rsid w:val="00795DEF"/>
    <w:rsid w:val="007972D5"/>
    <w:rsid w:val="00797F62"/>
    <w:rsid w:val="007A0082"/>
    <w:rsid w:val="007A086D"/>
    <w:rsid w:val="007A0CBA"/>
    <w:rsid w:val="007A0D63"/>
    <w:rsid w:val="007A16BD"/>
    <w:rsid w:val="007A32E9"/>
    <w:rsid w:val="007A352F"/>
    <w:rsid w:val="007A3BF0"/>
    <w:rsid w:val="007A4FD0"/>
    <w:rsid w:val="007A7034"/>
    <w:rsid w:val="007A7737"/>
    <w:rsid w:val="007B054B"/>
    <w:rsid w:val="007B05CC"/>
    <w:rsid w:val="007B06FB"/>
    <w:rsid w:val="007B1674"/>
    <w:rsid w:val="007B25F3"/>
    <w:rsid w:val="007B2CEA"/>
    <w:rsid w:val="007B2E46"/>
    <w:rsid w:val="007B330D"/>
    <w:rsid w:val="007B59C9"/>
    <w:rsid w:val="007B7628"/>
    <w:rsid w:val="007B7EA3"/>
    <w:rsid w:val="007C0456"/>
    <w:rsid w:val="007C0653"/>
    <w:rsid w:val="007C1516"/>
    <w:rsid w:val="007C1C3E"/>
    <w:rsid w:val="007C2126"/>
    <w:rsid w:val="007C33F9"/>
    <w:rsid w:val="007C3601"/>
    <w:rsid w:val="007C4B24"/>
    <w:rsid w:val="007C4E71"/>
    <w:rsid w:val="007C4FE3"/>
    <w:rsid w:val="007C51D8"/>
    <w:rsid w:val="007C5AE3"/>
    <w:rsid w:val="007C78EE"/>
    <w:rsid w:val="007C798C"/>
    <w:rsid w:val="007D13D0"/>
    <w:rsid w:val="007D1776"/>
    <w:rsid w:val="007D1E00"/>
    <w:rsid w:val="007D26BE"/>
    <w:rsid w:val="007D37D1"/>
    <w:rsid w:val="007D3FA1"/>
    <w:rsid w:val="007D52CA"/>
    <w:rsid w:val="007D60FA"/>
    <w:rsid w:val="007D711B"/>
    <w:rsid w:val="007D7523"/>
    <w:rsid w:val="007D7D9E"/>
    <w:rsid w:val="007E0C02"/>
    <w:rsid w:val="007E1176"/>
    <w:rsid w:val="007E1C1D"/>
    <w:rsid w:val="007E1F55"/>
    <w:rsid w:val="007E2104"/>
    <w:rsid w:val="007E2AF8"/>
    <w:rsid w:val="007E2EC6"/>
    <w:rsid w:val="007E39F7"/>
    <w:rsid w:val="007E4A6E"/>
    <w:rsid w:val="007E5C18"/>
    <w:rsid w:val="007E612E"/>
    <w:rsid w:val="007E68C1"/>
    <w:rsid w:val="007E697B"/>
    <w:rsid w:val="007E7C14"/>
    <w:rsid w:val="007E7E99"/>
    <w:rsid w:val="007F0380"/>
    <w:rsid w:val="007F130D"/>
    <w:rsid w:val="007F19D0"/>
    <w:rsid w:val="007F1AD2"/>
    <w:rsid w:val="007F1F05"/>
    <w:rsid w:val="007F2152"/>
    <w:rsid w:val="007F22FF"/>
    <w:rsid w:val="007F23AD"/>
    <w:rsid w:val="007F24D0"/>
    <w:rsid w:val="007F2681"/>
    <w:rsid w:val="007F2E24"/>
    <w:rsid w:val="007F2FF7"/>
    <w:rsid w:val="007F3272"/>
    <w:rsid w:val="007F3518"/>
    <w:rsid w:val="007F3D0E"/>
    <w:rsid w:val="007F3DC9"/>
    <w:rsid w:val="007F45D1"/>
    <w:rsid w:val="007F5015"/>
    <w:rsid w:val="007F6708"/>
    <w:rsid w:val="007F6A35"/>
    <w:rsid w:val="007F73C6"/>
    <w:rsid w:val="00800368"/>
    <w:rsid w:val="00802C54"/>
    <w:rsid w:val="008030A4"/>
    <w:rsid w:val="008030B4"/>
    <w:rsid w:val="00803242"/>
    <w:rsid w:val="0080393E"/>
    <w:rsid w:val="008042B0"/>
    <w:rsid w:val="008054E0"/>
    <w:rsid w:val="008067CD"/>
    <w:rsid w:val="0080788F"/>
    <w:rsid w:val="00810902"/>
    <w:rsid w:val="00812410"/>
    <w:rsid w:val="00812C71"/>
    <w:rsid w:val="0081391F"/>
    <w:rsid w:val="00813A76"/>
    <w:rsid w:val="0081469B"/>
    <w:rsid w:val="008146C6"/>
    <w:rsid w:val="00814B77"/>
    <w:rsid w:val="00815A60"/>
    <w:rsid w:val="008163A3"/>
    <w:rsid w:val="00816675"/>
    <w:rsid w:val="008169ED"/>
    <w:rsid w:val="00820552"/>
    <w:rsid w:val="00820C06"/>
    <w:rsid w:val="00821377"/>
    <w:rsid w:val="0082165A"/>
    <w:rsid w:val="008222CC"/>
    <w:rsid w:val="00823031"/>
    <w:rsid w:val="008240F3"/>
    <w:rsid w:val="00824543"/>
    <w:rsid w:val="008245BB"/>
    <w:rsid w:val="00824F27"/>
    <w:rsid w:val="0082570F"/>
    <w:rsid w:val="00825A7F"/>
    <w:rsid w:val="00831426"/>
    <w:rsid w:val="008318BE"/>
    <w:rsid w:val="00831B5F"/>
    <w:rsid w:val="00831C16"/>
    <w:rsid w:val="00831DF7"/>
    <w:rsid w:val="0083224F"/>
    <w:rsid w:val="0083275B"/>
    <w:rsid w:val="00832D93"/>
    <w:rsid w:val="0083352B"/>
    <w:rsid w:val="00833A41"/>
    <w:rsid w:val="00834247"/>
    <w:rsid w:val="00835637"/>
    <w:rsid w:val="008366B4"/>
    <w:rsid w:val="008368AD"/>
    <w:rsid w:val="008369A6"/>
    <w:rsid w:val="008369B8"/>
    <w:rsid w:val="00836C91"/>
    <w:rsid w:val="00837082"/>
    <w:rsid w:val="00840A51"/>
    <w:rsid w:val="0084102C"/>
    <w:rsid w:val="008430BD"/>
    <w:rsid w:val="00843637"/>
    <w:rsid w:val="008441D1"/>
    <w:rsid w:val="0084467B"/>
    <w:rsid w:val="008452B2"/>
    <w:rsid w:val="00845CC8"/>
    <w:rsid w:val="00845E4D"/>
    <w:rsid w:val="00845E4F"/>
    <w:rsid w:val="00845E7A"/>
    <w:rsid w:val="00846727"/>
    <w:rsid w:val="008474D3"/>
    <w:rsid w:val="00850356"/>
    <w:rsid w:val="00850C1F"/>
    <w:rsid w:val="0085138B"/>
    <w:rsid w:val="00851FFF"/>
    <w:rsid w:val="00852DF0"/>
    <w:rsid w:val="008561BC"/>
    <w:rsid w:val="00857185"/>
    <w:rsid w:val="008572A6"/>
    <w:rsid w:val="00861AAB"/>
    <w:rsid w:val="0086221D"/>
    <w:rsid w:val="00862975"/>
    <w:rsid w:val="00863B1A"/>
    <w:rsid w:val="0086428D"/>
    <w:rsid w:val="00864FE5"/>
    <w:rsid w:val="0086501B"/>
    <w:rsid w:val="008655DE"/>
    <w:rsid w:val="00866C68"/>
    <w:rsid w:val="008670C1"/>
    <w:rsid w:val="00867652"/>
    <w:rsid w:val="00867BD8"/>
    <w:rsid w:val="00872106"/>
    <w:rsid w:val="00872A41"/>
    <w:rsid w:val="008747D6"/>
    <w:rsid w:val="0087581C"/>
    <w:rsid w:val="008767F5"/>
    <w:rsid w:val="00877AEB"/>
    <w:rsid w:val="00877E24"/>
    <w:rsid w:val="008800AF"/>
    <w:rsid w:val="0088028E"/>
    <w:rsid w:val="008814E1"/>
    <w:rsid w:val="0088151C"/>
    <w:rsid w:val="0088279B"/>
    <w:rsid w:val="00882DB2"/>
    <w:rsid w:val="0088311A"/>
    <w:rsid w:val="008832BB"/>
    <w:rsid w:val="00883625"/>
    <w:rsid w:val="008848DD"/>
    <w:rsid w:val="008849CE"/>
    <w:rsid w:val="00887564"/>
    <w:rsid w:val="008879D7"/>
    <w:rsid w:val="00887BB0"/>
    <w:rsid w:val="008901A6"/>
    <w:rsid w:val="00891F24"/>
    <w:rsid w:val="008935BD"/>
    <w:rsid w:val="00893EC3"/>
    <w:rsid w:val="00893EC9"/>
    <w:rsid w:val="00894563"/>
    <w:rsid w:val="0089546F"/>
    <w:rsid w:val="0089559E"/>
    <w:rsid w:val="00895CF4"/>
    <w:rsid w:val="00896067"/>
    <w:rsid w:val="00896BD5"/>
    <w:rsid w:val="008973A3"/>
    <w:rsid w:val="00897468"/>
    <w:rsid w:val="00897515"/>
    <w:rsid w:val="00897E00"/>
    <w:rsid w:val="008A0220"/>
    <w:rsid w:val="008A073C"/>
    <w:rsid w:val="008A0949"/>
    <w:rsid w:val="008A1572"/>
    <w:rsid w:val="008A15D3"/>
    <w:rsid w:val="008A1835"/>
    <w:rsid w:val="008A198F"/>
    <w:rsid w:val="008A291F"/>
    <w:rsid w:val="008A3E0B"/>
    <w:rsid w:val="008A43CF"/>
    <w:rsid w:val="008A489F"/>
    <w:rsid w:val="008A4DB3"/>
    <w:rsid w:val="008A663E"/>
    <w:rsid w:val="008A6FEC"/>
    <w:rsid w:val="008A789A"/>
    <w:rsid w:val="008A7F44"/>
    <w:rsid w:val="008B0D49"/>
    <w:rsid w:val="008B3813"/>
    <w:rsid w:val="008B4AD5"/>
    <w:rsid w:val="008B5097"/>
    <w:rsid w:val="008B6466"/>
    <w:rsid w:val="008B6916"/>
    <w:rsid w:val="008B6CC4"/>
    <w:rsid w:val="008B7325"/>
    <w:rsid w:val="008C0133"/>
    <w:rsid w:val="008C3483"/>
    <w:rsid w:val="008C371C"/>
    <w:rsid w:val="008C415C"/>
    <w:rsid w:val="008C5157"/>
    <w:rsid w:val="008C5250"/>
    <w:rsid w:val="008C61BB"/>
    <w:rsid w:val="008C7101"/>
    <w:rsid w:val="008C7113"/>
    <w:rsid w:val="008C7313"/>
    <w:rsid w:val="008C7777"/>
    <w:rsid w:val="008D10AE"/>
    <w:rsid w:val="008D245E"/>
    <w:rsid w:val="008D2CCE"/>
    <w:rsid w:val="008D3D3A"/>
    <w:rsid w:val="008D475F"/>
    <w:rsid w:val="008D529B"/>
    <w:rsid w:val="008D62C8"/>
    <w:rsid w:val="008D6ADE"/>
    <w:rsid w:val="008E0497"/>
    <w:rsid w:val="008E1242"/>
    <w:rsid w:val="008E23E7"/>
    <w:rsid w:val="008E2587"/>
    <w:rsid w:val="008E277D"/>
    <w:rsid w:val="008E2AA9"/>
    <w:rsid w:val="008E2DD0"/>
    <w:rsid w:val="008E308C"/>
    <w:rsid w:val="008E3101"/>
    <w:rsid w:val="008E3C6D"/>
    <w:rsid w:val="008E3C98"/>
    <w:rsid w:val="008E3CDD"/>
    <w:rsid w:val="008E4756"/>
    <w:rsid w:val="008E52D3"/>
    <w:rsid w:val="008E5313"/>
    <w:rsid w:val="008E5328"/>
    <w:rsid w:val="008E5AD0"/>
    <w:rsid w:val="008E5CEF"/>
    <w:rsid w:val="008E6F08"/>
    <w:rsid w:val="008E743A"/>
    <w:rsid w:val="008E7BEA"/>
    <w:rsid w:val="008E7F59"/>
    <w:rsid w:val="008F0439"/>
    <w:rsid w:val="008F13AA"/>
    <w:rsid w:val="008F1933"/>
    <w:rsid w:val="008F2F87"/>
    <w:rsid w:val="008F3897"/>
    <w:rsid w:val="008F3EA9"/>
    <w:rsid w:val="008F419B"/>
    <w:rsid w:val="008F4CCA"/>
    <w:rsid w:val="008F562D"/>
    <w:rsid w:val="008F69FC"/>
    <w:rsid w:val="008F6E20"/>
    <w:rsid w:val="008F7123"/>
    <w:rsid w:val="00900469"/>
    <w:rsid w:val="0090055D"/>
    <w:rsid w:val="00900702"/>
    <w:rsid w:val="0090098C"/>
    <w:rsid w:val="00900B3B"/>
    <w:rsid w:val="00901B3D"/>
    <w:rsid w:val="00902C73"/>
    <w:rsid w:val="009034FA"/>
    <w:rsid w:val="0090381C"/>
    <w:rsid w:val="00903E2D"/>
    <w:rsid w:val="00903EAC"/>
    <w:rsid w:val="00905565"/>
    <w:rsid w:val="00905923"/>
    <w:rsid w:val="00905948"/>
    <w:rsid w:val="00905E6C"/>
    <w:rsid w:val="00906336"/>
    <w:rsid w:val="00906638"/>
    <w:rsid w:val="00906AB7"/>
    <w:rsid w:val="00906B4E"/>
    <w:rsid w:val="00907AB0"/>
    <w:rsid w:val="00907BAE"/>
    <w:rsid w:val="00910AAC"/>
    <w:rsid w:val="00910B06"/>
    <w:rsid w:val="00911D1A"/>
    <w:rsid w:val="00912DFE"/>
    <w:rsid w:val="00913EC8"/>
    <w:rsid w:val="00914CB0"/>
    <w:rsid w:val="009150B7"/>
    <w:rsid w:val="009157D6"/>
    <w:rsid w:val="00915E0D"/>
    <w:rsid w:val="00916413"/>
    <w:rsid w:val="009171F0"/>
    <w:rsid w:val="009204CC"/>
    <w:rsid w:val="00921352"/>
    <w:rsid w:val="00921B8A"/>
    <w:rsid w:val="00922EC3"/>
    <w:rsid w:val="00923FC1"/>
    <w:rsid w:val="00924138"/>
    <w:rsid w:val="0092550F"/>
    <w:rsid w:val="0092593A"/>
    <w:rsid w:val="00925D76"/>
    <w:rsid w:val="00926021"/>
    <w:rsid w:val="00926138"/>
    <w:rsid w:val="00926AF4"/>
    <w:rsid w:val="00927F56"/>
    <w:rsid w:val="00930B5F"/>
    <w:rsid w:val="00931F1E"/>
    <w:rsid w:val="00932B23"/>
    <w:rsid w:val="00932CF9"/>
    <w:rsid w:val="00933E1F"/>
    <w:rsid w:val="00934833"/>
    <w:rsid w:val="009353E5"/>
    <w:rsid w:val="00935497"/>
    <w:rsid w:val="0093579A"/>
    <w:rsid w:val="00935E9C"/>
    <w:rsid w:val="00936D60"/>
    <w:rsid w:val="009373DF"/>
    <w:rsid w:val="00937589"/>
    <w:rsid w:val="00940015"/>
    <w:rsid w:val="00940638"/>
    <w:rsid w:val="009418A1"/>
    <w:rsid w:val="00941A87"/>
    <w:rsid w:val="00942B26"/>
    <w:rsid w:val="00943A65"/>
    <w:rsid w:val="00944565"/>
    <w:rsid w:val="00944B37"/>
    <w:rsid w:val="00944BA7"/>
    <w:rsid w:val="009458BE"/>
    <w:rsid w:val="0094610A"/>
    <w:rsid w:val="00946F00"/>
    <w:rsid w:val="009473B5"/>
    <w:rsid w:val="00947D91"/>
    <w:rsid w:val="00950291"/>
    <w:rsid w:val="00950824"/>
    <w:rsid w:val="009516FE"/>
    <w:rsid w:val="00952BEC"/>
    <w:rsid w:val="00953E30"/>
    <w:rsid w:val="00954C0C"/>
    <w:rsid w:val="0095571C"/>
    <w:rsid w:val="009558BE"/>
    <w:rsid w:val="00955FE3"/>
    <w:rsid w:val="00956CCE"/>
    <w:rsid w:val="009578BE"/>
    <w:rsid w:val="0095799B"/>
    <w:rsid w:val="009611C6"/>
    <w:rsid w:val="00961FA5"/>
    <w:rsid w:val="00963974"/>
    <w:rsid w:val="00963F14"/>
    <w:rsid w:val="009641BC"/>
    <w:rsid w:val="0096453D"/>
    <w:rsid w:val="00965176"/>
    <w:rsid w:val="00967198"/>
    <w:rsid w:val="00967524"/>
    <w:rsid w:val="009713F2"/>
    <w:rsid w:val="00971E7F"/>
    <w:rsid w:val="00971FBC"/>
    <w:rsid w:val="009723B4"/>
    <w:rsid w:val="00972C2A"/>
    <w:rsid w:val="00972E8D"/>
    <w:rsid w:val="009738F0"/>
    <w:rsid w:val="00973FE6"/>
    <w:rsid w:val="009740AE"/>
    <w:rsid w:val="0097416F"/>
    <w:rsid w:val="00974253"/>
    <w:rsid w:val="009743B1"/>
    <w:rsid w:val="00974D62"/>
    <w:rsid w:val="00976A8C"/>
    <w:rsid w:val="00976E8F"/>
    <w:rsid w:val="009771D0"/>
    <w:rsid w:val="0097721D"/>
    <w:rsid w:val="00977A42"/>
    <w:rsid w:val="0098041A"/>
    <w:rsid w:val="0098080E"/>
    <w:rsid w:val="0098199C"/>
    <w:rsid w:val="00982E18"/>
    <w:rsid w:val="0098307E"/>
    <w:rsid w:val="0098547E"/>
    <w:rsid w:val="009857C5"/>
    <w:rsid w:val="00985AC1"/>
    <w:rsid w:val="00985B10"/>
    <w:rsid w:val="00985BCD"/>
    <w:rsid w:val="00986A27"/>
    <w:rsid w:val="00986E6D"/>
    <w:rsid w:val="0098792E"/>
    <w:rsid w:val="00991962"/>
    <w:rsid w:val="00992E3A"/>
    <w:rsid w:val="00993A24"/>
    <w:rsid w:val="00993BB5"/>
    <w:rsid w:val="00994846"/>
    <w:rsid w:val="0099546A"/>
    <w:rsid w:val="009956FD"/>
    <w:rsid w:val="009964AB"/>
    <w:rsid w:val="009964D8"/>
    <w:rsid w:val="009A048F"/>
    <w:rsid w:val="009A0793"/>
    <w:rsid w:val="009A0ADC"/>
    <w:rsid w:val="009A153A"/>
    <w:rsid w:val="009A3CB5"/>
    <w:rsid w:val="009A3DDA"/>
    <w:rsid w:val="009A4942"/>
    <w:rsid w:val="009A55E7"/>
    <w:rsid w:val="009A5997"/>
    <w:rsid w:val="009A76C5"/>
    <w:rsid w:val="009A7750"/>
    <w:rsid w:val="009B0916"/>
    <w:rsid w:val="009B0DE7"/>
    <w:rsid w:val="009B102F"/>
    <w:rsid w:val="009B3354"/>
    <w:rsid w:val="009B3890"/>
    <w:rsid w:val="009B4059"/>
    <w:rsid w:val="009B413C"/>
    <w:rsid w:val="009B4636"/>
    <w:rsid w:val="009B5432"/>
    <w:rsid w:val="009B58AF"/>
    <w:rsid w:val="009B6D3D"/>
    <w:rsid w:val="009B70F9"/>
    <w:rsid w:val="009C017B"/>
    <w:rsid w:val="009C055A"/>
    <w:rsid w:val="009C0DAA"/>
    <w:rsid w:val="009C2606"/>
    <w:rsid w:val="009C2E17"/>
    <w:rsid w:val="009C367C"/>
    <w:rsid w:val="009C42BF"/>
    <w:rsid w:val="009C4797"/>
    <w:rsid w:val="009C51CA"/>
    <w:rsid w:val="009C5944"/>
    <w:rsid w:val="009C6CC9"/>
    <w:rsid w:val="009C6E35"/>
    <w:rsid w:val="009D0A3E"/>
    <w:rsid w:val="009D1C23"/>
    <w:rsid w:val="009D221B"/>
    <w:rsid w:val="009D23C5"/>
    <w:rsid w:val="009D2AC6"/>
    <w:rsid w:val="009D3134"/>
    <w:rsid w:val="009D3CA1"/>
    <w:rsid w:val="009D420C"/>
    <w:rsid w:val="009D4997"/>
    <w:rsid w:val="009D532B"/>
    <w:rsid w:val="009D601A"/>
    <w:rsid w:val="009D6134"/>
    <w:rsid w:val="009D7041"/>
    <w:rsid w:val="009E14BC"/>
    <w:rsid w:val="009E19DD"/>
    <w:rsid w:val="009E3A31"/>
    <w:rsid w:val="009E3BAE"/>
    <w:rsid w:val="009E59A0"/>
    <w:rsid w:val="009E5DA5"/>
    <w:rsid w:val="009E6691"/>
    <w:rsid w:val="009E6DCF"/>
    <w:rsid w:val="009E6FE2"/>
    <w:rsid w:val="009E70ED"/>
    <w:rsid w:val="009E7351"/>
    <w:rsid w:val="009E7BBD"/>
    <w:rsid w:val="009F0379"/>
    <w:rsid w:val="009F0ECA"/>
    <w:rsid w:val="009F1670"/>
    <w:rsid w:val="009F1F06"/>
    <w:rsid w:val="009F2725"/>
    <w:rsid w:val="009F27D8"/>
    <w:rsid w:val="009F44CC"/>
    <w:rsid w:val="009F4512"/>
    <w:rsid w:val="009F4C9F"/>
    <w:rsid w:val="009F56EF"/>
    <w:rsid w:val="009F58A1"/>
    <w:rsid w:val="009F62E5"/>
    <w:rsid w:val="009F65D2"/>
    <w:rsid w:val="009F6602"/>
    <w:rsid w:val="009F732C"/>
    <w:rsid w:val="009F771E"/>
    <w:rsid w:val="00A00A74"/>
    <w:rsid w:val="00A00F5E"/>
    <w:rsid w:val="00A020A1"/>
    <w:rsid w:val="00A03693"/>
    <w:rsid w:val="00A0404C"/>
    <w:rsid w:val="00A047E3"/>
    <w:rsid w:val="00A04D1E"/>
    <w:rsid w:val="00A056D7"/>
    <w:rsid w:val="00A05BC0"/>
    <w:rsid w:val="00A073BB"/>
    <w:rsid w:val="00A07A54"/>
    <w:rsid w:val="00A107FE"/>
    <w:rsid w:val="00A10A9A"/>
    <w:rsid w:val="00A11CBC"/>
    <w:rsid w:val="00A11F66"/>
    <w:rsid w:val="00A12433"/>
    <w:rsid w:val="00A12B7E"/>
    <w:rsid w:val="00A13604"/>
    <w:rsid w:val="00A13CCB"/>
    <w:rsid w:val="00A14BE2"/>
    <w:rsid w:val="00A154F7"/>
    <w:rsid w:val="00A15BD4"/>
    <w:rsid w:val="00A17092"/>
    <w:rsid w:val="00A1764D"/>
    <w:rsid w:val="00A178FD"/>
    <w:rsid w:val="00A17CAE"/>
    <w:rsid w:val="00A22359"/>
    <w:rsid w:val="00A2266B"/>
    <w:rsid w:val="00A2524A"/>
    <w:rsid w:val="00A2530C"/>
    <w:rsid w:val="00A25D64"/>
    <w:rsid w:val="00A25D6F"/>
    <w:rsid w:val="00A25FB3"/>
    <w:rsid w:val="00A26306"/>
    <w:rsid w:val="00A267EC"/>
    <w:rsid w:val="00A26943"/>
    <w:rsid w:val="00A2727B"/>
    <w:rsid w:val="00A305D6"/>
    <w:rsid w:val="00A316CD"/>
    <w:rsid w:val="00A318C1"/>
    <w:rsid w:val="00A31DA9"/>
    <w:rsid w:val="00A3226D"/>
    <w:rsid w:val="00A32356"/>
    <w:rsid w:val="00A323F1"/>
    <w:rsid w:val="00A327B7"/>
    <w:rsid w:val="00A3299B"/>
    <w:rsid w:val="00A32B4B"/>
    <w:rsid w:val="00A32E09"/>
    <w:rsid w:val="00A333D3"/>
    <w:rsid w:val="00A3397E"/>
    <w:rsid w:val="00A3400F"/>
    <w:rsid w:val="00A34BD9"/>
    <w:rsid w:val="00A35308"/>
    <w:rsid w:val="00A35583"/>
    <w:rsid w:val="00A35F20"/>
    <w:rsid w:val="00A37F85"/>
    <w:rsid w:val="00A4140C"/>
    <w:rsid w:val="00A4170E"/>
    <w:rsid w:val="00A427A0"/>
    <w:rsid w:val="00A42B86"/>
    <w:rsid w:val="00A42BAE"/>
    <w:rsid w:val="00A42D85"/>
    <w:rsid w:val="00A44B18"/>
    <w:rsid w:val="00A45D54"/>
    <w:rsid w:val="00A46A4B"/>
    <w:rsid w:val="00A46EF9"/>
    <w:rsid w:val="00A47750"/>
    <w:rsid w:val="00A51F2E"/>
    <w:rsid w:val="00A52E84"/>
    <w:rsid w:val="00A548C1"/>
    <w:rsid w:val="00A55DBB"/>
    <w:rsid w:val="00A55F2E"/>
    <w:rsid w:val="00A569B5"/>
    <w:rsid w:val="00A57D53"/>
    <w:rsid w:val="00A60165"/>
    <w:rsid w:val="00A6034C"/>
    <w:rsid w:val="00A6052F"/>
    <w:rsid w:val="00A606A0"/>
    <w:rsid w:val="00A60C24"/>
    <w:rsid w:val="00A61057"/>
    <w:rsid w:val="00A611BF"/>
    <w:rsid w:val="00A6150A"/>
    <w:rsid w:val="00A621F0"/>
    <w:rsid w:val="00A625AA"/>
    <w:rsid w:val="00A633B4"/>
    <w:rsid w:val="00A6373C"/>
    <w:rsid w:val="00A646AF"/>
    <w:rsid w:val="00A64B95"/>
    <w:rsid w:val="00A651B0"/>
    <w:rsid w:val="00A659B6"/>
    <w:rsid w:val="00A65E00"/>
    <w:rsid w:val="00A66069"/>
    <w:rsid w:val="00A66D40"/>
    <w:rsid w:val="00A66FDE"/>
    <w:rsid w:val="00A67048"/>
    <w:rsid w:val="00A677E9"/>
    <w:rsid w:val="00A67DC8"/>
    <w:rsid w:val="00A706F6"/>
    <w:rsid w:val="00A7073B"/>
    <w:rsid w:val="00A71948"/>
    <w:rsid w:val="00A72293"/>
    <w:rsid w:val="00A7237F"/>
    <w:rsid w:val="00A72757"/>
    <w:rsid w:val="00A74290"/>
    <w:rsid w:val="00A74959"/>
    <w:rsid w:val="00A7502E"/>
    <w:rsid w:val="00A7746A"/>
    <w:rsid w:val="00A778C3"/>
    <w:rsid w:val="00A77976"/>
    <w:rsid w:val="00A809EB"/>
    <w:rsid w:val="00A81B0D"/>
    <w:rsid w:val="00A82209"/>
    <w:rsid w:val="00A82693"/>
    <w:rsid w:val="00A82F6A"/>
    <w:rsid w:val="00A83607"/>
    <w:rsid w:val="00A84177"/>
    <w:rsid w:val="00A84CD4"/>
    <w:rsid w:val="00A86A6A"/>
    <w:rsid w:val="00A87992"/>
    <w:rsid w:val="00A90456"/>
    <w:rsid w:val="00A906E4"/>
    <w:rsid w:val="00A908A9"/>
    <w:rsid w:val="00A9285E"/>
    <w:rsid w:val="00A92DE7"/>
    <w:rsid w:val="00A93D48"/>
    <w:rsid w:val="00A93E97"/>
    <w:rsid w:val="00A94080"/>
    <w:rsid w:val="00A94A6E"/>
    <w:rsid w:val="00A97F7A"/>
    <w:rsid w:val="00A97FCD"/>
    <w:rsid w:val="00AA0263"/>
    <w:rsid w:val="00AA06BE"/>
    <w:rsid w:val="00AA0A29"/>
    <w:rsid w:val="00AA0C62"/>
    <w:rsid w:val="00AA23C5"/>
    <w:rsid w:val="00AA29B8"/>
    <w:rsid w:val="00AA2E7B"/>
    <w:rsid w:val="00AA498A"/>
    <w:rsid w:val="00AA5397"/>
    <w:rsid w:val="00AA55BC"/>
    <w:rsid w:val="00AA65BC"/>
    <w:rsid w:val="00AA688C"/>
    <w:rsid w:val="00AA7C62"/>
    <w:rsid w:val="00AB0064"/>
    <w:rsid w:val="00AB049B"/>
    <w:rsid w:val="00AB0AA4"/>
    <w:rsid w:val="00AB0CA6"/>
    <w:rsid w:val="00AB0E77"/>
    <w:rsid w:val="00AB0F76"/>
    <w:rsid w:val="00AB15EC"/>
    <w:rsid w:val="00AB1B90"/>
    <w:rsid w:val="00AB1D77"/>
    <w:rsid w:val="00AB42BB"/>
    <w:rsid w:val="00AB49C3"/>
    <w:rsid w:val="00AB52AC"/>
    <w:rsid w:val="00AB5626"/>
    <w:rsid w:val="00AB684D"/>
    <w:rsid w:val="00AB6AF4"/>
    <w:rsid w:val="00AB7040"/>
    <w:rsid w:val="00AB756D"/>
    <w:rsid w:val="00AB7D8F"/>
    <w:rsid w:val="00AC0075"/>
    <w:rsid w:val="00AC04A4"/>
    <w:rsid w:val="00AC065E"/>
    <w:rsid w:val="00AC0EEC"/>
    <w:rsid w:val="00AC16C9"/>
    <w:rsid w:val="00AC16FF"/>
    <w:rsid w:val="00AC184B"/>
    <w:rsid w:val="00AC2567"/>
    <w:rsid w:val="00AC2933"/>
    <w:rsid w:val="00AC2B64"/>
    <w:rsid w:val="00AC48A8"/>
    <w:rsid w:val="00AC7073"/>
    <w:rsid w:val="00AC745E"/>
    <w:rsid w:val="00AC7FD3"/>
    <w:rsid w:val="00AD0545"/>
    <w:rsid w:val="00AD072F"/>
    <w:rsid w:val="00AD074B"/>
    <w:rsid w:val="00AD081B"/>
    <w:rsid w:val="00AD0953"/>
    <w:rsid w:val="00AD0DE3"/>
    <w:rsid w:val="00AD1D71"/>
    <w:rsid w:val="00AD2672"/>
    <w:rsid w:val="00AD30D4"/>
    <w:rsid w:val="00AD3D64"/>
    <w:rsid w:val="00AD41FA"/>
    <w:rsid w:val="00AD42A7"/>
    <w:rsid w:val="00AD4FFC"/>
    <w:rsid w:val="00AD51DA"/>
    <w:rsid w:val="00AD57B4"/>
    <w:rsid w:val="00AD5E55"/>
    <w:rsid w:val="00AD74DE"/>
    <w:rsid w:val="00AD78D3"/>
    <w:rsid w:val="00AD7FF0"/>
    <w:rsid w:val="00AE03D7"/>
    <w:rsid w:val="00AE068A"/>
    <w:rsid w:val="00AE15A1"/>
    <w:rsid w:val="00AE16E6"/>
    <w:rsid w:val="00AE1889"/>
    <w:rsid w:val="00AE282D"/>
    <w:rsid w:val="00AE4241"/>
    <w:rsid w:val="00AE4472"/>
    <w:rsid w:val="00AE4955"/>
    <w:rsid w:val="00AE4A0E"/>
    <w:rsid w:val="00AE53B2"/>
    <w:rsid w:val="00AE5F21"/>
    <w:rsid w:val="00AE60DB"/>
    <w:rsid w:val="00AE6D9C"/>
    <w:rsid w:val="00AE712B"/>
    <w:rsid w:val="00AE72D1"/>
    <w:rsid w:val="00AE783E"/>
    <w:rsid w:val="00AE7A8A"/>
    <w:rsid w:val="00AE7FAA"/>
    <w:rsid w:val="00AF087F"/>
    <w:rsid w:val="00AF35C9"/>
    <w:rsid w:val="00AF460A"/>
    <w:rsid w:val="00AF4C72"/>
    <w:rsid w:val="00AF5132"/>
    <w:rsid w:val="00AF5611"/>
    <w:rsid w:val="00AF5BBE"/>
    <w:rsid w:val="00AF75CA"/>
    <w:rsid w:val="00AF78B7"/>
    <w:rsid w:val="00AF78D5"/>
    <w:rsid w:val="00B00E99"/>
    <w:rsid w:val="00B0223F"/>
    <w:rsid w:val="00B03328"/>
    <w:rsid w:val="00B03885"/>
    <w:rsid w:val="00B03CF5"/>
    <w:rsid w:val="00B05847"/>
    <w:rsid w:val="00B06DBF"/>
    <w:rsid w:val="00B071B0"/>
    <w:rsid w:val="00B07FE4"/>
    <w:rsid w:val="00B10F4F"/>
    <w:rsid w:val="00B11FAA"/>
    <w:rsid w:val="00B12132"/>
    <w:rsid w:val="00B12635"/>
    <w:rsid w:val="00B12B2A"/>
    <w:rsid w:val="00B1305A"/>
    <w:rsid w:val="00B1326C"/>
    <w:rsid w:val="00B13990"/>
    <w:rsid w:val="00B13AA8"/>
    <w:rsid w:val="00B151DF"/>
    <w:rsid w:val="00B15761"/>
    <w:rsid w:val="00B15F1E"/>
    <w:rsid w:val="00B15FF3"/>
    <w:rsid w:val="00B17845"/>
    <w:rsid w:val="00B17C7B"/>
    <w:rsid w:val="00B20335"/>
    <w:rsid w:val="00B21A4A"/>
    <w:rsid w:val="00B21C02"/>
    <w:rsid w:val="00B21CE6"/>
    <w:rsid w:val="00B226C0"/>
    <w:rsid w:val="00B23226"/>
    <w:rsid w:val="00B234CD"/>
    <w:rsid w:val="00B23F60"/>
    <w:rsid w:val="00B23FE2"/>
    <w:rsid w:val="00B24449"/>
    <w:rsid w:val="00B24764"/>
    <w:rsid w:val="00B259C7"/>
    <w:rsid w:val="00B3115C"/>
    <w:rsid w:val="00B31391"/>
    <w:rsid w:val="00B31B92"/>
    <w:rsid w:val="00B32D70"/>
    <w:rsid w:val="00B33648"/>
    <w:rsid w:val="00B343CC"/>
    <w:rsid w:val="00B34A88"/>
    <w:rsid w:val="00B363AB"/>
    <w:rsid w:val="00B36C40"/>
    <w:rsid w:val="00B405B3"/>
    <w:rsid w:val="00B40C73"/>
    <w:rsid w:val="00B4137A"/>
    <w:rsid w:val="00B41F2C"/>
    <w:rsid w:val="00B433F2"/>
    <w:rsid w:val="00B43702"/>
    <w:rsid w:val="00B43A77"/>
    <w:rsid w:val="00B44204"/>
    <w:rsid w:val="00B445EC"/>
    <w:rsid w:val="00B44FB5"/>
    <w:rsid w:val="00B4543A"/>
    <w:rsid w:val="00B454CF"/>
    <w:rsid w:val="00B46406"/>
    <w:rsid w:val="00B46865"/>
    <w:rsid w:val="00B47A4B"/>
    <w:rsid w:val="00B501C2"/>
    <w:rsid w:val="00B50376"/>
    <w:rsid w:val="00B50A3B"/>
    <w:rsid w:val="00B50E5A"/>
    <w:rsid w:val="00B5120C"/>
    <w:rsid w:val="00B52B5F"/>
    <w:rsid w:val="00B5345D"/>
    <w:rsid w:val="00B54A96"/>
    <w:rsid w:val="00B54E80"/>
    <w:rsid w:val="00B55123"/>
    <w:rsid w:val="00B55423"/>
    <w:rsid w:val="00B55968"/>
    <w:rsid w:val="00B56647"/>
    <w:rsid w:val="00B5718F"/>
    <w:rsid w:val="00B57512"/>
    <w:rsid w:val="00B57A4F"/>
    <w:rsid w:val="00B57BF5"/>
    <w:rsid w:val="00B57E39"/>
    <w:rsid w:val="00B622F9"/>
    <w:rsid w:val="00B63384"/>
    <w:rsid w:val="00B66279"/>
    <w:rsid w:val="00B66B4A"/>
    <w:rsid w:val="00B674C3"/>
    <w:rsid w:val="00B67C38"/>
    <w:rsid w:val="00B704BC"/>
    <w:rsid w:val="00B70858"/>
    <w:rsid w:val="00B71D16"/>
    <w:rsid w:val="00B72102"/>
    <w:rsid w:val="00B734D2"/>
    <w:rsid w:val="00B737FE"/>
    <w:rsid w:val="00B74CD1"/>
    <w:rsid w:val="00B74E1A"/>
    <w:rsid w:val="00B753B7"/>
    <w:rsid w:val="00B75C93"/>
    <w:rsid w:val="00B76010"/>
    <w:rsid w:val="00B76390"/>
    <w:rsid w:val="00B7664F"/>
    <w:rsid w:val="00B771C5"/>
    <w:rsid w:val="00B777E1"/>
    <w:rsid w:val="00B80F5C"/>
    <w:rsid w:val="00B82C5D"/>
    <w:rsid w:val="00B83072"/>
    <w:rsid w:val="00B8341F"/>
    <w:rsid w:val="00B8349E"/>
    <w:rsid w:val="00B8361D"/>
    <w:rsid w:val="00B841DB"/>
    <w:rsid w:val="00B846BB"/>
    <w:rsid w:val="00B8491E"/>
    <w:rsid w:val="00B85D54"/>
    <w:rsid w:val="00B85ED8"/>
    <w:rsid w:val="00B8638C"/>
    <w:rsid w:val="00B86CAD"/>
    <w:rsid w:val="00B873F8"/>
    <w:rsid w:val="00B9084C"/>
    <w:rsid w:val="00B908B0"/>
    <w:rsid w:val="00B918C0"/>
    <w:rsid w:val="00B91CDA"/>
    <w:rsid w:val="00B91E3C"/>
    <w:rsid w:val="00B92CBD"/>
    <w:rsid w:val="00B934FB"/>
    <w:rsid w:val="00B935D2"/>
    <w:rsid w:val="00B941A5"/>
    <w:rsid w:val="00B94DEF"/>
    <w:rsid w:val="00B9549A"/>
    <w:rsid w:val="00B96A5F"/>
    <w:rsid w:val="00B9765B"/>
    <w:rsid w:val="00BA046C"/>
    <w:rsid w:val="00BA0A56"/>
    <w:rsid w:val="00BA1ADC"/>
    <w:rsid w:val="00BA2338"/>
    <w:rsid w:val="00BA263C"/>
    <w:rsid w:val="00BA2E70"/>
    <w:rsid w:val="00BA3C1E"/>
    <w:rsid w:val="00BA4635"/>
    <w:rsid w:val="00BA4828"/>
    <w:rsid w:val="00BA5123"/>
    <w:rsid w:val="00BA54F9"/>
    <w:rsid w:val="00BA552F"/>
    <w:rsid w:val="00BA5FDB"/>
    <w:rsid w:val="00BA6906"/>
    <w:rsid w:val="00BA6F5E"/>
    <w:rsid w:val="00BB0504"/>
    <w:rsid w:val="00BB2B12"/>
    <w:rsid w:val="00BB2C57"/>
    <w:rsid w:val="00BB2CB7"/>
    <w:rsid w:val="00BB3025"/>
    <w:rsid w:val="00BB3701"/>
    <w:rsid w:val="00BB38B7"/>
    <w:rsid w:val="00BB3F1D"/>
    <w:rsid w:val="00BB47B6"/>
    <w:rsid w:val="00BB54A3"/>
    <w:rsid w:val="00BB553E"/>
    <w:rsid w:val="00BB5DFD"/>
    <w:rsid w:val="00BB5FED"/>
    <w:rsid w:val="00BB604E"/>
    <w:rsid w:val="00BB6206"/>
    <w:rsid w:val="00BB7401"/>
    <w:rsid w:val="00BB7564"/>
    <w:rsid w:val="00BB7707"/>
    <w:rsid w:val="00BB77AF"/>
    <w:rsid w:val="00BC2004"/>
    <w:rsid w:val="00BC2572"/>
    <w:rsid w:val="00BC310C"/>
    <w:rsid w:val="00BC327F"/>
    <w:rsid w:val="00BC34EC"/>
    <w:rsid w:val="00BC35A4"/>
    <w:rsid w:val="00BC3BB9"/>
    <w:rsid w:val="00BC3E2D"/>
    <w:rsid w:val="00BC4F30"/>
    <w:rsid w:val="00BC6BA0"/>
    <w:rsid w:val="00BC7320"/>
    <w:rsid w:val="00BC749B"/>
    <w:rsid w:val="00BD004B"/>
    <w:rsid w:val="00BD092D"/>
    <w:rsid w:val="00BD1603"/>
    <w:rsid w:val="00BD2CBA"/>
    <w:rsid w:val="00BD3B60"/>
    <w:rsid w:val="00BD5382"/>
    <w:rsid w:val="00BD5BEA"/>
    <w:rsid w:val="00BD631E"/>
    <w:rsid w:val="00BD7F82"/>
    <w:rsid w:val="00BE12BE"/>
    <w:rsid w:val="00BE28AB"/>
    <w:rsid w:val="00BE29E4"/>
    <w:rsid w:val="00BE2D68"/>
    <w:rsid w:val="00BE35BC"/>
    <w:rsid w:val="00BE3E8E"/>
    <w:rsid w:val="00BE5647"/>
    <w:rsid w:val="00BE5EA2"/>
    <w:rsid w:val="00BE64F4"/>
    <w:rsid w:val="00BE69FA"/>
    <w:rsid w:val="00BE6AAB"/>
    <w:rsid w:val="00BE7798"/>
    <w:rsid w:val="00BF08B1"/>
    <w:rsid w:val="00BF0A54"/>
    <w:rsid w:val="00BF0D72"/>
    <w:rsid w:val="00BF1726"/>
    <w:rsid w:val="00BF25C6"/>
    <w:rsid w:val="00BF2BEB"/>
    <w:rsid w:val="00BF3220"/>
    <w:rsid w:val="00BF32D1"/>
    <w:rsid w:val="00BF4BE7"/>
    <w:rsid w:val="00BF5790"/>
    <w:rsid w:val="00BF57DE"/>
    <w:rsid w:val="00BF6A85"/>
    <w:rsid w:val="00BF7FA4"/>
    <w:rsid w:val="00C02414"/>
    <w:rsid w:val="00C02978"/>
    <w:rsid w:val="00C03500"/>
    <w:rsid w:val="00C03A49"/>
    <w:rsid w:val="00C04123"/>
    <w:rsid w:val="00C04912"/>
    <w:rsid w:val="00C058DA"/>
    <w:rsid w:val="00C05EC7"/>
    <w:rsid w:val="00C0638F"/>
    <w:rsid w:val="00C065B8"/>
    <w:rsid w:val="00C068BD"/>
    <w:rsid w:val="00C06BA7"/>
    <w:rsid w:val="00C06C76"/>
    <w:rsid w:val="00C123C9"/>
    <w:rsid w:val="00C12795"/>
    <w:rsid w:val="00C1379E"/>
    <w:rsid w:val="00C1384A"/>
    <w:rsid w:val="00C14128"/>
    <w:rsid w:val="00C15CDD"/>
    <w:rsid w:val="00C175E6"/>
    <w:rsid w:val="00C17967"/>
    <w:rsid w:val="00C203FA"/>
    <w:rsid w:val="00C20B6B"/>
    <w:rsid w:val="00C22568"/>
    <w:rsid w:val="00C22FA2"/>
    <w:rsid w:val="00C231EF"/>
    <w:rsid w:val="00C25157"/>
    <w:rsid w:val="00C25C26"/>
    <w:rsid w:val="00C25CCD"/>
    <w:rsid w:val="00C26BEE"/>
    <w:rsid w:val="00C273F3"/>
    <w:rsid w:val="00C275BA"/>
    <w:rsid w:val="00C27B20"/>
    <w:rsid w:val="00C30BFE"/>
    <w:rsid w:val="00C314C6"/>
    <w:rsid w:val="00C31A73"/>
    <w:rsid w:val="00C32428"/>
    <w:rsid w:val="00C33245"/>
    <w:rsid w:val="00C33738"/>
    <w:rsid w:val="00C3383D"/>
    <w:rsid w:val="00C34911"/>
    <w:rsid w:val="00C34FB2"/>
    <w:rsid w:val="00C360EE"/>
    <w:rsid w:val="00C36281"/>
    <w:rsid w:val="00C40265"/>
    <w:rsid w:val="00C40600"/>
    <w:rsid w:val="00C40A38"/>
    <w:rsid w:val="00C40BE4"/>
    <w:rsid w:val="00C40C06"/>
    <w:rsid w:val="00C42115"/>
    <w:rsid w:val="00C42816"/>
    <w:rsid w:val="00C45842"/>
    <w:rsid w:val="00C46463"/>
    <w:rsid w:val="00C4658D"/>
    <w:rsid w:val="00C4746C"/>
    <w:rsid w:val="00C4751F"/>
    <w:rsid w:val="00C477C1"/>
    <w:rsid w:val="00C47996"/>
    <w:rsid w:val="00C51415"/>
    <w:rsid w:val="00C523B7"/>
    <w:rsid w:val="00C52983"/>
    <w:rsid w:val="00C52A4C"/>
    <w:rsid w:val="00C53170"/>
    <w:rsid w:val="00C53480"/>
    <w:rsid w:val="00C535D0"/>
    <w:rsid w:val="00C53FF3"/>
    <w:rsid w:val="00C540F7"/>
    <w:rsid w:val="00C5422F"/>
    <w:rsid w:val="00C54398"/>
    <w:rsid w:val="00C54958"/>
    <w:rsid w:val="00C549E0"/>
    <w:rsid w:val="00C56006"/>
    <w:rsid w:val="00C57710"/>
    <w:rsid w:val="00C57947"/>
    <w:rsid w:val="00C6079C"/>
    <w:rsid w:val="00C618E1"/>
    <w:rsid w:val="00C6194B"/>
    <w:rsid w:val="00C61EA3"/>
    <w:rsid w:val="00C64042"/>
    <w:rsid w:val="00C64071"/>
    <w:rsid w:val="00C645C5"/>
    <w:rsid w:val="00C65389"/>
    <w:rsid w:val="00C65F2C"/>
    <w:rsid w:val="00C66901"/>
    <w:rsid w:val="00C67752"/>
    <w:rsid w:val="00C67F89"/>
    <w:rsid w:val="00C70276"/>
    <w:rsid w:val="00C70ED1"/>
    <w:rsid w:val="00C712F4"/>
    <w:rsid w:val="00C71CF7"/>
    <w:rsid w:val="00C71FB7"/>
    <w:rsid w:val="00C72C3F"/>
    <w:rsid w:val="00C732DA"/>
    <w:rsid w:val="00C747C8"/>
    <w:rsid w:val="00C74B5F"/>
    <w:rsid w:val="00C74CF7"/>
    <w:rsid w:val="00C75E71"/>
    <w:rsid w:val="00C75FD4"/>
    <w:rsid w:val="00C77134"/>
    <w:rsid w:val="00C77254"/>
    <w:rsid w:val="00C7729B"/>
    <w:rsid w:val="00C77F9C"/>
    <w:rsid w:val="00C8079D"/>
    <w:rsid w:val="00C80C5D"/>
    <w:rsid w:val="00C80FA5"/>
    <w:rsid w:val="00C8160D"/>
    <w:rsid w:val="00C83089"/>
    <w:rsid w:val="00C84196"/>
    <w:rsid w:val="00C84609"/>
    <w:rsid w:val="00C84748"/>
    <w:rsid w:val="00C84A20"/>
    <w:rsid w:val="00C851C7"/>
    <w:rsid w:val="00C851FF"/>
    <w:rsid w:val="00C90199"/>
    <w:rsid w:val="00C9037A"/>
    <w:rsid w:val="00C90526"/>
    <w:rsid w:val="00C90A75"/>
    <w:rsid w:val="00C90E40"/>
    <w:rsid w:val="00C90EBC"/>
    <w:rsid w:val="00C90EED"/>
    <w:rsid w:val="00C91A0D"/>
    <w:rsid w:val="00C91AD4"/>
    <w:rsid w:val="00C92469"/>
    <w:rsid w:val="00C93490"/>
    <w:rsid w:val="00C93A99"/>
    <w:rsid w:val="00C93C10"/>
    <w:rsid w:val="00C94156"/>
    <w:rsid w:val="00C94BE7"/>
    <w:rsid w:val="00C95855"/>
    <w:rsid w:val="00C96AA2"/>
    <w:rsid w:val="00C9700D"/>
    <w:rsid w:val="00C9771F"/>
    <w:rsid w:val="00CA00F2"/>
    <w:rsid w:val="00CA0A03"/>
    <w:rsid w:val="00CA119F"/>
    <w:rsid w:val="00CA122E"/>
    <w:rsid w:val="00CA17B8"/>
    <w:rsid w:val="00CA1EB5"/>
    <w:rsid w:val="00CA1EFF"/>
    <w:rsid w:val="00CA27CE"/>
    <w:rsid w:val="00CA31AE"/>
    <w:rsid w:val="00CA39E3"/>
    <w:rsid w:val="00CA430A"/>
    <w:rsid w:val="00CA4FAD"/>
    <w:rsid w:val="00CA527D"/>
    <w:rsid w:val="00CA57F2"/>
    <w:rsid w:val="00CA5A84"/>
    <w:rsid w:val="00CA5E7A"/>
    <w:rsid w:val="00CA6465"/>
    <w:rsid w:val="00CA70D4"/>
    <w:rsid w:val="00CA72C4"/>
    <w:rsid w:val="00CA740C"/>
    <w:rsid w:val="00CA7528"/>
    <w:rsid w:val="00CB07D0"/>
    <w:rsid w:val="00CB0D49"/>
    <w:rsid w:val="00CB2873"/>
    <w:rsid w:val="00CB3A0F"/>
    <w:rsid w:val="00CB43D3"/>
    <w:rsid w:val="00CB4762"/>
    <w:rsid w:val="00CB484E"/>
    <w:rsid w:val="00CB5ED4"/>
    <w:rsid w:val="00CB60A4"/>
    <w:rsid w:val="00CB75DA"/>
    <w:rsid w:val="00CC110B"/>
    <w:rsid w:val="00CC1550"/>
    <w:rsid w:val="00CC28D8"/>
    <w:rsid w:val="00CC2B46"/>
    <w:rsid w:val="00CC2DC9"/>
    <w:rsid w:val="00CC3160"/>
    <w:rsid w:val="00CC3A4C"/>
    <w:rsid w:val="00CC3A96"/>
    <w:rsid w:val="00CC3C6A"/>
    <w:rsid w:val="00CC434F"/>
    <w:rsid w:val="00CC551D"/>
    <w:rsid w:val="00CC5663"/>
    <w:rsid w:val="00CC5E76"/>
    <w:rsid w:val="00CC6110"/>
    <w:rsid w:val="00CC6637"/>
    <w:rsid w:val="00CC7A5F"/>
    <w:rsid w:val="00CD034A"/>
    <w:rsid w:val="00CD089B"/>
    <w:rsid w:val="00CD24C0"/>
    <w:rsid w:val="00CD2A5B"/>
    <w:rsid w:val="00CD2F05"/>
    <w:rsid w:val="00CD3333"/>
    <w:rsid w:val="00CD3EE2"/>
    <w:rsid w:val="00CD5890"/>
    <w:rsid w:val="00CD596E"/>
    <w:rsid w:val="00CD5972"/>
    <w:rsid w:val="00CD6BD5"/>
    <w:rsid w:val="00CD721C"/>
    <w:rsid w:val="00CD761D"/>
    <w:rsid w:val="00CD7810"/>
    <w:rsid w:val="00CD78CF"/>
    <w:rsid w:val="00CD7B4C"/>
    <w:rsid w:val="00CE00C7"/>
    <w:rsid w:val="00CE051F"/>
    <w:rsid w:val="00CE0CC9"/>
    <w:rsid w:val="00CE0D15"/>
    <w:rsid w:val="00CE0D22"/>
    <w:rsid w:val="00CE116E"/>
    <w:rsid w:val="00CE135E"/>
    <w:rsid w:val="00CE1792"/>
    <w:rsid w:val="00CE22A6"/>
    <w:rsid w:val="00CE2362"/>
    <w:rsid w:val="00CE261B"/>
    <w:rsid w:val="00CE2E98"/>
    <w:rsid w:val="00CE3B94"/>
    <w:rsid w:val="00CE3D8B"/>
    <w:rsid w:val="00CE424F"/>
    <w:rsid w:val="00CE46F7"/>
    <w:rsid w:val="00CE6EA7"/>
    <w:rsid w:val="00CE76BF"/>
    <w:rsid w:val="00CE7AA0"/>
    <w:rsid w:val="00CF0A84"/>
    <w:rsid w:val="00CF141D"/>
    <w:rsid w:val="00CF2162"/>
    <w:rsid w:val="00CF25ED"/>
    <w:rsid w:val="00CF31C8"/>
    <w:rsid w:val="00CF3F32"/>
    <w:rsid w:val="00CF4B3A"/>
    <w:rsid w:val="00CF5C92"/>
    <w:rsid w:val="00CF6233"/>
    <w:rsid w:val="00CF674B"/>
    <w:rsid w:val="00D00400"/>
    <w:rsid w:val="00D009D1"/>
    <w:rsid w:val="00D010F9"/>
    <w:rsid w:val="00D013B2"/>
    <w:rsid w:val="00D01C8D"/>
    <w:rsid w:val="00D030ED"/>
    <w:rsid w:val="00D03B58"/>
    <w:rsid w:val="00D049E4"/>
    <w:rsid w:val="00D05072"/>
    <w:rsid w:val="00D05DFA"/>
    <w:rsid w:val="00D06B1E"/>
    <w:rsid w:val="00D06F2F"/>
    <w:rsid w:val="00D07570"/>
    <w:rsid w:val="00D079CF"/>
    <w:rsid w:val="00D1080A"/>
    <w:rsid w:val="00D11107"/>
    <w:rsid w:val="00D11BE3"/>
    <w:rsid w:val="00D11C8C"/>
    <w:rsid w:val="00D12381"/>
    <w:rsid w:val="00D12872"/>
    <w:rsid w:val="00D1328E"/>
    <w:rsid w:val="00D132E1"/>
    <w:rsid w:val="00D138AF"/>
    <w:rsid w:val="00D13F0B"/>
    <w:rsid w:val="00D1422E"/>
    <w:rsid w:val="00D15307"/>
    <w:rsid w:val="00D1618D"/>
    <w:rsid w:val="00D16577"/>
    <w:rsid w:val="00D202AD"/>
    <w:rsid w:val="00D20661"/>
    <w:rsid w:val="00D2067A"/>
    <w:rsid w:val="00D21685"/>
    <w:rsid w:val="00D22329"/>
    <w:rsid w:val="00D245C1"/>
    <w:rsid w:val="00D246AB"/>
    <w:rsid w:val="00D24A14"/>
    <w:rsid w:val="00D250E3"/>
    <w:rsid w:val="00D25120"/>
    <w:rsid w:val="00D25170"/>
    <w:rsid w:val="00D25A96"/>
    <w:rsid w:val="00D25B3E"/>
    <w:rsid w:val="00D25C60"/>
    <w:rsid w:val="00D26B1C"/>
    <w:rsid w:val="00D2730E"/>
    <w:rsid w:val="00D302CE"/>
    <w:rsid w:val="00D302DC"/>
    <w:rsid w:val="00D30901"/>
    <w:rsid w:val="00D30D3F"/>
    <w:rsid w:val="00D30F09"/>
    <w:rsid w:val="00D32FB0"/>
    <w:rsid w:val="00D330AB"/>
    <w:rsid w:val="00D3325E"/>
    <w:rsid w:val="00D349C0"/>
    <w:rsid w:val="00D365BA"/>
    <w:rsid w:val="00D36BE5"/>
    <w:rsid w:val="00D36F33"/>
    <w:rsid w:val="00D40336"/>
    <w:rsid w:val="00D405B4"/>
    <w:rsid w:val="00D4065C"/>
    <w:rsid w:val="00D41389"/>
    <w:rsid w:val="00D41689"/>
    <w:rsid w:val="00D41FF6"/>
    <w:rsid w:val="00D4233B"/>
    <w:rsid w:val="00D42D42"/>
    <w:rsid w:val="00D42E99"/>
    <w:rsid w:val="00D432ED"/>
    <w:rsid w:val="00D43EC2"/>
    <w:rsid w:val="00D441B9"/>
    <w:rsid w:val="00D44826"/>
    <w:rsid w:val="00D44FC0"/>
    <w:rsid w:val="00D47330"/>
    <w:rsid w:val="00D4794B"/>
    <w:rsid w:val="00D47FA0"/>
    <w:rsid w:val="00D51359"/>
    <w:rsid w:val="00D52142"/>
    <w:rsid w:val="00D5274D"/>
    <w:rsid w:val="00D5302B"/>
    <w:rsid w:val="00D53C9A"/>
    <w:rsid w:val="00D53D12"/>
    <w:rsid w:val="00D54A9B"/>
    <w:rsid w:val="00D55254"/>
    <w:rsid w:val="00D56BB0"/>
    <w:rsid w:val="00D57F32"/>
    <w:rsid w:val="00D57FA2"/>
    <w:rsid w:val="00D618CD"/>
    <w:rsid w:val="00D61A29"/>
    <w:rsid w:val="00D620EB"/>
    <w:rsid w:val="00D62EB2"/>
    <w:rsid w:val="00D63329"/>
    <w:rsid w:val="00D6333B"/>
    <w:rsid w:val="00D638E1"/>
    <w:rsid w:val="00D6433B"/>
    <w:rsid w:val="00D650F0"/>
    <w:rsid w:val="00D658E5"/>
    <w:rsid w:val="00D66283"/>
    <w:rsid w:val="00D662F2"/>
    <w:rsid w:val="00D6638B"/>
    <w:rsid w:val="00D6658F"/>
    <w:rsid w:val="00D668C1"/>
    <w:rsid w:val="00D66D5B"/>
    <w:rsid w:val="00D67253"/>
    <w:rsid w:val="00D67369"/>
    <w:rsid w:val="00D67986"/>
    <w:rsid w:val="00D67BC0"/>
    <w:rsid w:val="00D702B6"/>
    <w:rsid w:val="00D70DCF"/>
    <w:rsid w:val="00D71015"/>
    <w:rsid w:val="00D710E6"/>
    <w:rsid w:val="00D72484"/>
    <w:rsid w:val="00D72735"/>
    <w:rsid w:val="00D72EFB"/>
    <w:rsid w:val="00D7342F"/>
    <w:rsid w:val="00D73699"/>
    <w:rsid w:val="00D73B82"/>
    <w:rsid w:val="00D74AE1"/>
    <w:rsid w:val="00D76C9F"/>
    <w:rsid w:val="00D77427"/>
    <w:rsid w:val="00D774EC"/>
    <w:rsid w:val="00D77643"/>
    <w:rsid w:val="00D77A77"/>
    <w:rsid w:val="00D80321"/>
    <w:rsid w:val="00D81126"/>
    <w:rsid w:val="00D81986"/>
    <w:rsid w:val="00D83BD5"/>
    <w:rsid w:val="00D83E21"/>
    <w:rsid w:val="00D84088"/>
    <w:rsid w:val="00D84A47"/>
    <w:rsid w:val="00D85012"/>
    <w:rsid w:val="00D851F0"/>
    <w:rsid w:val="00D85B4E"/>
    <w:rsid w:val="00D86489"/>
    <w:rsid w:val="00D87CE9"/>
    <w:rsid w:val="00D904DC"/>
    <w:rsid w:val="00D904DD"/>
    <w:rsid w:val="00D905E2"/>
    <w:rsid w:val="00D90C2E"/>
    <w:rsid w:val="00D92062"/>
    <w:rsid w:val="00D92369"/>
    <w:rsid w:val="00D933D6"/>
    <w:rsid w:val="00D938A2"/>
    <w:rsid w:val="00D94B30"/>
    <w:rsid w:val="00D951D8"/>
    <w:rsid w:val="00D95557"/>
    <w:rsid w:val="00D963C4"/>
    <w:rsid w:val="00D971CB"/>
    <w:rsid w:val="00D97BF0"/>
    <w:rsid w:val="00D97D22"/>
    <w:rsid w:val="00D97F29"/>
    <w:rsid w:val="00DA0F6E"/>
    <w:rsid w:val="00DA1B8F"/>
    <w:rsid w:val="00DA1E36"/>
    <w:rsid w:val="00DA24B4"/>
    <w:rsid w:val="00DA29FA"/>
    <w:rsid w:val="00DA310F"/>
    <w:rsid w:val="00DA3ED3"/>
    <w:rsid w:val="00DA3F1B"/>
    <w:rsid w:val="00DA4024"/>
    <w:rsid w:val="00DA53DE"/>
    <w:rsid w:val="00DA55E4"/>
    <w:rsid w:val="00DA59F0"/>
    <w:rsid w:val="00DA5EA6"/>
    <w:rsid w:val="00DA680A"/>
    <w:rsid w:val="00DA6A1A"/>
    <w:rsid w:val="00DA6B35"/>
    <w:rsid w:val="00DA6B58"/>
    <w:rsid w:val="00DA72F6"/>
    <w:rsid w:val="00DA76F9"/>
    <w:rsid w:val="00DA7C5D"/>
    <w:rsid w:val="00DA7E3E"/>
    <w:rsid w:val="00DA7F75"/>
    <w:rsid w:val="00DB0DD6"/>
    <w:rsid w:val="00DB2504"/>
    <w:rsid w:val="00DB3391"/>
    <w:rsid w:val="00DB33B8"/>
    <w:rsid w:val="00DB3C07"/>
    <w:rsid w:val="00DB3F1C"/>
    <w:rsid w:val="00DB4FE4"/>
    <w:rsid w:val="00DB504F"/>
    <w:rsid w:val="00DB576B"/>
    <w:rsid w:val="00DB6F39"/>
    <w:rsid w:val="00DB7914"/>
    <w:rsid w:val="00DC024E"/>
    <w:rsid w:val="00DC04D9"/>
    <w:rsid w:val="00DC1DC1"/>
    <w:rsid w:val="00DC2040"/>
    <w:rsid w:val="00DC2F1F"/>
    <w:rsid w:val="00DC3513"/>
    <w:rsid w:val="00DC4378"/>
    <w:rsid w:val="00DC4659"/>
    <w:rsid w:val="00DC5619"/>
    <w:rsid w:val="00DC5D42"/>
    <w:rsid w:val="00DC6816"/>
    <w:rsid w:val="00DD00AB"/>
    <w:rsid w:val="00DD0804"/>
    <w:rsid w:val="00DD0B0A"/>
    <w:rsid w:val="00DD1BE0"/>
    <w:rsid w:val="00DD2874"/>
    <w:rsid w:val="00DD2999"/>
    <w:rsid w:val="00DD2D02"/>
    <w:rsid w:val="00DD358C"/>
    <w:rsid w:val="00DD488C"/>
    <w:rsid w:val="00DD50DF"/>
    <w:rsid w:val="00DD55CC"/>
    <w:rsid w:val="00DD7A14"/>
    <w:rsid w:val="00DE0A37"/>
    <w:rsid w:val="00DE0F3F"/>
    <w:rsid w:val="00DE0FB6"/>
    <w:rsid w:val="00DE207B"/>
    <w:rsid w:val="00DE2196"/>
    <w:rsid w:val="00DE253A"/>
    <w:rsid w:val="00DE301F"/>
    <w:rsid w:val="00DE3337"/>
    <w:rsid w:val="00DE376C"/>
    <w:rsid w:val="00DE3CFB"/>
    <w:rsid w:val="00DE4C74"/>
    <w:rsid w:val="00DE670C"/>
    <w:rsid w:val="00DE6989"/>
    <w:rsid w:val="00DE6EAE"/>
    <w:rsid w:val="00DE7658"/>
    <w:rsid w:val="00DF2C3B"/>
    <w:rsid w:val="00DF308D"/>
    <w:rsid w:val="00DF3C29"/>
    <w:rsid w:val="00DF3D06"/>
    <w:rsid w:val="00DF3F27"/>
    <w:rsid w:val="00DF56D8"/>
    <w:rsid w:val="00DF592C"/>
    <w:rsid w:val="00DF6028"/>
    <w:rsid w:val="00DF60A9"/>
    <w:rsid w:val="00DF739D"/>
    <w:rsid w:val="00DF76C2"/>
    <w:rsid w:val="00E00C55"/>
    <w:rsid w:val="00E013B8"/>
    <w:rsid w:val="00E01703"/>
    <w:rsid w:val="00E03DEB"/>
    <w:rsid w:val="00E0407F"/>
    <w:rsid w:val="00E04C03"/>
    <w:rsid w:val="00E05A80"/>
    <w:rsid w:val="00E0758E"/>
    <w:rsid w:val="00E07D91"/>
    <w:rsid w:val="00E102C1"/>
    <w:rsid w:val="00E10654"/>
    <w:rsid w:val="00E107BC"/>
    <w:rsid w:val="00E120E6"/>
    <w:rsid w:val="00E12248"/>
    <w:rsid w:val="00E12509"/>
    <w:rsid w:val="00E128A0"/>
    <w:rsid w:val="00E12CF0"/>
    <w:rsid w:val="00E1367E"/>
    <w:rsid w:val="00E138D0"/>
    <w:rsid w:val="00E146A3"/>
    <w:rsid w:val="00E15A65"/>
    <w:rsid w:val="00E15CC3"/>
    <w:rsid w:val="00E166C7"/>
    <w:rsid w:val="00E166FC"/>
    <w:rsid w:val="00E16EDC"/>
    <w:rsid w:val="00E17E75"/>
    <w:rsid w:val="00E20828"/>
    <w:rsid w:val="00E2161F"/>
    <w:rsid w:val="00E21837"/>
    <w:rsid w:val="00E219EF"/>
    <w:rsid w:val="00E22DBC"/>
    <w:rsid w:val="00E22EEA"/>
    <w:rsid w:val="00E23393"/>
    <w:rsid w:val="00E2368A"/>
    <w:rsid w:val="00E23706"/>
    <w:rsid w:val="00E23A06"/>
    <w:rsid w:val="00E24356"/>
    <w:rsid w:val="00E244B1"/>
    <w:rsid w:val="00E2497F"/>
    <w:rsid w:val="00E2543A"/>
    <w:rsid w:val="00E255B2"/>
    <w:rsid w:val="00E25A41"/>
    <w:rsid w:val="00E25E60"/>
    <w:rsid w:val="00E268BA"/>
    <w:rsid w:val="00E272CE"/>
    <w:rsid w:val="00E27863"/>
    <w:rsid w:val="00E303BC"/>
    <w:rsid w:val="00E306DC"/>
    <w:rsid w:val="00E3108C"/>
    <w:rsid w:val="00E3187D"/>
    <w:rsid w:val="00E322A9"/>
    <w:rsid w:val="00E325BE"/>
    <w:rsid w:val="00E32B31"/>
    <w:rsid w:val="00E3322C"/>
    <w:rsid w:val="00E33782"/>
    <w:rsid w:val="00E33E49"/>
    <w:rsid w:val="00E3439A"/>
    <w:rsid w:val="00E346BA"/>
    <w:rsid w:val="00E34822"/>
    <w:rsid w:val="00E35301"/>
    <w:rsid w:val="00E357B8"/>
    <w:rsid w:val="00E35CBE"/>
    <w:rsid w:val="00E35EF0"/>
    <w:rsid w:val="00E36DE7"/>
    <w:rsid w:val="00E3789C"/>
    <w:rsid w:val="00E37A21"/>
    <w:rsid w:val="00E37C90"/>
    <w:rsid w:val="00E40FF2"/>
    <w:rsid w:val="00E4119D"/>
    <w:rsid w:val="00E4288F"/>
    <w:rsid w:val="00E436FF"/>
    <w:rsid w:val="00E43A89"/>
    <w:rsid w:val="00E441D8"/>
    <w:rsid w:val="00E4435A"/>
    <w:rsid w:val="00E4479C"/>
    <w:rsid w:val="00E451BC"/>
    <w:rsid w:val="00E45526"/>
    <w:rsid w:val="00E455CF"/>
    <w:rsid w:val="00E45654"/>
    <w:rsid w:val="00E45BBB"/>
    <w:rsid w:val="00E45BE5"/>
    <w:rsid w:val="00E46920"/>
    <w:rsid w:val="00E47135"/>
    <w:rsid w:val="00E47324"/>
    <w:rsid w:val="00E47A77"/>
    <w:rsid w:val="00E47E1F"/>
    <w:rsid w:val="00E51195"/>
    <w:rsid w:val="00E51ABC"/>
    <w:rsid w:val="00E51F80"/>
    <w:rsid w:val="00E52BFA"/>
    <w:rsid w:val="00E53FE4"/>
    <w:rsid w:val="00E54098"/>
    <w:rsid w:val="00E54B9E"/>
    <w:rsid w:val="00E5537C"/>
    <w:rsid w:val="00E56178"/>
    <w:rsid w:val="00E563E5"/>
    <w:rsid w:val="00E56544"/>
    <w:rsid w:val="00E56BDB"/>
    <w:rsid w:val="00E56BFB"/>
    <w:rsid w:val="00E5731E"/>
    <w:rsid w:val="00E57DB5"/>
    <w:rsid w:val="00E6071F"/>
    <w:rsid w:val="00E615AB"/>
    <w:rsid w:val="00E61E59"/>
    <w:rsid w:val="00E6287A"/>
    <w:rsid w:val="00E62B2A"/>
    <w:rsid w:val="00E62C9E"/>
    <w:rsid w:val="00E63792"/>
    <w:rsid w:val="00E63902"/>
    <w:rsid w:val="00E644F9"/>
    <w:rsid w:val="00E6454C"/>
    <w:rsid w:val="00E64620"/>
    <w:rsid w:val="00E64901"/>
    <w:rsid w:val="00E649B9"/>
    <w:rsid w:val="00E65CD1"/>
    <w:rsid w:val="00E65E56"/>
    <w:rsid w:val="00E666D8"/>
    <w:rsid w:val="00E7065D"/>
    <w:rsid w:val="00E71AFE"/>
    <w:rsid w:val="00E71C25"/>
    <w:rsid w:val="00E71D32"/>
    <w:rsid w:val="00E7259D"/>
    <w:rsid w:val="00E72768"/>
    <w:rsid w:val="00E736A9"/>
    <w:rsid w:val="00E7433B"/>
    <w:rsid w:val="00E74750"/>
    <w:rsid w:val="00E74B80"/>
    <w:rsid w:val="00E7511D"/>
    <w:rsid w:val="00E75AB8"/>
    <w:rsid w:val="00E75B2A"/>
    <w:rsid w:val="00E75C63"/>
    <w:rsid w:val="00E760F3"/>
    <w:rsid w:val="00E7661F"/>
    <w:rsid w:val="00E776C7"/>
    <w:rsid w:val="00E779B3"/>
    <w:rsid w:val="00E77A09"/>
    <w:rsid w:val="00E77E48"/>
    <w:rsid w:val="00E800D3"/>
    <w:rsid w:val="00E807DF"/>
    <w:rsid w:val="00E81DA3"/>
    <w:rsid w:val="00E823A8"/>
    <w:rsid w:val="00E8253E"/>
    <w:rsid w:val="00E84A9D"/>
    <w:rsid w:val="00E87F8A"/>
    <w:rsid w:val="00E90D5E"/>
    <w:rsid w:val="00E91158"/>
    <w:rsid w:val="00E91DFE"/>
    <w:rsid w:val="00E92688"/>
    <w:rsid w:val="00E92BB9"/>
    <w:rsid w:val="00E92E3C"/>
    <w:rsid w:val="00E93A86"/>
    <w:rsid w:val="00E949BA"/>
    <w:rsid w:val="00E95A2F"/>
    <w:rsid w:val="00E9616D"/>
    <w:rsid w:val="00E9693E"/>
    <w:rsid w:val="00E97587"/>
    <w:rsid w:val="00E978D5"/>
    <w:rsid w:val="00E97DAD"/>
    <w:rsid w:val="00EA08C3"/>
    <w:rsid w:val="00EA1686"/>
    <w:rsid w:val="00EA21F3"/>
    <w:rsid w:val="00EA230E"/>
    <w:rsid w:val="00EA28D7"/>
    <w:rsid w:val="00EA3882"/>
    <w:rsid w:val="00EA3A1F"/>
    <w:rsid w:val="00EA4066"/>
    <w:rsid w:val="00EA445E"/>
    <w:rsid w:val="00EA4676"/>
    <w:rsid w:val="00EA4F7A"/>
    <w:rsid w:val="00EA56CF"/>
    <w:rsid w:val="00EA5F1A"/>
    <w:rsid w:val="00EA65AA"/>
    <w:rsid w:val="00EB0F68"/>
    <w:rsid w:val="00EB269B"/>
    <w:rsid w:val="00EB283E"/>
    <w:rsid w:val="00EB3365"/>
    <w:rsid w:val="00EB35CE"/>
    <w:rsid w:val="00EB4583"/>
    <w:rsid w:val="00EB5B8B"/>
    <w:rsid w:val="00EB5C82"/>
    <w:rsid w:val="00EB6B10"/>
    <w:rsid w:val="00EB7622"/>
    <w:rsid w:val="00EB769D"/>
    <w:rsid w:val="00EB77C9"/>
    <w:rsid w:val="00EC02B6"/>
    <w:rsid w:val="00EC0989"/>
    <w:rsid w:val="00EC0A45"/>
    <w:rsid w:val="00EC0EA3"/>
    <w:rsid w:val="00EC21AF"/>
    <w:rsid w:val="00EC24FF"/>
    <w:rsid w:val="00EC3090"/>
    <w:rsid w:val="00EC33F6"/>
    <w:rsid w:val="00EC36A3"/>
    <w:rsid w:val="00EC4C61"/>
    <w:rsid w:val="00EC777F"/>
    <w:rsid w:val="00ED0381"/>
    <w:rsid w:val="00ED19F8"/>
    <w:rsid w:val="00ED1C3F"/>
    <w:rsid w:val="00ED231A"/>
    <w:rsid w:val="00ED2DB6"/>
    <w:rsid w:val="00ED2E1C"/>
    <w:rsid w:val="00ED4AFB"/>
    <w:rsid w:val="00ED4E2E"/>
    <w:rsid w:val="00ED658A"/>
    <w:rsid w:val="00ED68B1"/>
    <w:rsid w:val="00ED6C46"/>
    <w:rsid w:val="00ED6D83"/>
    <w:rsid w:val="00ED74E2"/>
    <w:rsid w:val="00ED777F"/>
    <w:rsid w:val="00ED79E9"/>
    <w:rsid w:val="00EE0D2B"/>
    <w:rsid w:val="00EE2EEE"/>
    <w:rsid w:val="00EE30A0"/>
    <w:rsid w:val="00EE31A8"/>
    <w:rsid w:val="00EE36A2"/>
    <w:rsid w:val="00EE4CF8"/>
    <w:rsid w:val="00EE6AE5"/>
    <w:rsid w:val="00EE6EE8"/>
    <w:rsid w:val="00EE7383"/>
    <w:rsid w:val="00EF11C4"/>
    <w:rsid w:val="00EF18EE"/>
    <w:rsid w:val="00EF1E3B"/>
    <w:rsid w:val="00EF22BA"/>
    <w:rsid w:val="00EF2D86"/>
    <w:rsid w:val="00EF3092"/>
    <w:rsid w:val="00EF4566"/>
    <w:rsid w:val="00EF4AE2"/>
    <w:rsid w:val="00EF4BAE"/>
    <w:rsid w:val="00EF5366"/>
    <w:rsid w:val="00EF5998"/>
    <w:rsid w:val="00EF5DFB"/>
    <w:rsid w:val="00EF6A92"/>
    <w:rsid w:val="00EF6B20"/>
    <w:rsid w:val="00EF6BC0"/>
    <w:rsid w:val="00EF766F"/>
    <w:rsid w:val="00EF7C47"/>
    <w:rsid w:val="00F00033"/>
    <w:rsid w:val="00F00A56"/>
    <w:rsid w:val="00F0191D"/>
    <w:rsid w:val="00F01999"/>
    <w:rsid w:val="00F02630"/>
    <w:rsid w:val="00F027C3"/>
    <w:rsid w:val="00F02BD2"/>
    <w:rsid w:val="00F02ED7"/>
    <w:rsid w:val="00F03A86"/>
    <w:rsid w:val="00F049EC"/>
    <w:rsid w:val="00F04A7B"/>
    <w:rsid w:val="00F04E37"/>
    <w:rsid w:val="00F05EB5"/>
    <w:rsid w:val="00F05F54"/>
    <w:rsid w:val="00F066CA"/>
    <w:rsid w:val="00F10689"/>
    <w:rsid w:val="00F10EF7"/>
    <w:rsid w:val="00F110EB"/>
    <w:rsid w:val="00F13572"/>
    <w:rsid w:val="00F142F5"/>
    <w:rsid w:val="00F149ED"/>
    <w:rsid w:val="00F14BB2"/>
    <w:rsid w:val="00F161B3"/>
    <w:rsid w:val="00F1632B"/>
    <w:rsid w:val="00F16FBF"/>
    <w:rsid w:val="00F17470"/>
    <w:rsid w:val="00F20D17"/>
    <w:rsid w:val="00F22580"/>
    <w:rsid w:val="00F226CD"/>
    <w:rsid w:val="00F22F7B"/>
    <w:rsid w:val="00F232B2"/>
    <w:rsid w:val="00F23CFC"/>
    <w:rsid w:val="00F2486C"/>
    <w:rsid w:val="00F24A8F"/>
    <w:rsid w:val="00F252C2"/>
    <w:rsid w:val="00F25E73"/>
    <w:rsid w:val="00F26480"/>
    <w:rsid w:val="00F26581"/>
    <w:rsid w:val="00F27394"/>
    <w:rsid w:val="00F27927"/>
    <w:rsid w:val="00F30122"/>
    <w:rsid w:val="00F30138"/>
    <w:rsid w:val="00F307E9"/>
    <w:rsid w:val="00F3217C"/>
    <w:rsid w:val="00F326B5"/>
    <w:rsid w:val="00F3360E"/>
    <w:rsid w:val="00F33B6A"/>
    <w:rsid w:val="00F33BDD"/>
    <w:rsid w:val="00F342A7"/>
    <w:rsid w:val="00F346D2"/>
    <w:rsid w:val="00F3470C"/>
    <w:rsid w:val="00F37C5D"/>
    <w:rsid w:val="00F37D96"/>
    <w:rsid w:val="00F40757"/>
    <w:rsid w:val="00F40C74"/>
    <w:rsid w:val="00F4138F"/>
    <w:rsid w:val="00F41724"/>
    <w:rsid w:val="00F418CE"/>
    <w:rsid w:val="00F419E8"/>
    <w:rsid w:val="00F4202B"/>
    <w:rsid w:val="00F429B9"/>
    <w:rsid w:val="00F42AA2"/>
    <w:rsid w:val="00F42D59"/>
    <w:rsid w:val="00F4350F"/>
    <w:rsid w:val="00F43F73"/>
    <w:rsid w:val="00F44C0A"/>
    <w:rsid w:val="00F45B30"/>
    <w:rsid w:val="00F45BD9"/>
    <w:rsid w:val="00F46FCA"/>
    <w:rsid w:val="00F5036F"/>
    <w:rsid w:val="00F50A4C"/>
    <w:rsid w:val="00F512C2"/>
    <w:rsid w:val="00F51FD9"/>
    <w:rsid w:val="00F52A7A"/>
    <w:rsid w:val="00F52BC7"/>
    <w:rsid w:val="00F53249"/>
    <w:rsid w:val="00F537A1"/>
    <w:rsid w:val="00F54FA8"/>
    <w:rsid w:val="00F5572D"/>
    <w:rsid w:val="00F5748E"/>
    <w:rsid w:val="00F579D6"/>
    <w:rsid w:val="00F57A86"/>
    <w:rsid w:val="00F600A4"/>
    <w:rsid w:val="00F624E1"/>
    <w:rsid w:val="00F6277E"/>
    <w:rsid w:val="00F627D8"/>
    <w:rsid w:val="00F6323C"/>
    <w:rsid w:val="00F632BC"/>
    <w:rsid w:val="00F6333D"/>
    <w:rsid w:val="00F63F4E"/>
    <w:rsid w:val="00F64129"/>
    <w:rsid w:val="00F64475"/>
    <w:rsid w:val="00F65915"/>
    <w:rsid w:val="00F6591E"/>
    <w:rsid w:val="00F6630A"/>
    <w:rsid w:val="00F6662B"/>
    <w:rsid w:val="00F6662D"/>
    <w:rsid w:val="00F67BC0"/>
    <w:rsid w:val="00F7010E"/>
    <w:rsid w:val="00F70AFC"/>
    <w:rsid w:val="00F7131D"/>
    <w:rsid w:val="00F71348"/>
    <w:rsid w:val="00F72115"/>
    <w:rsid w:val="00F7213C"/>
    <w:rsid w:val="00F7396F"/>
    <w:rsid w:val="00F73C74"/>
    <w:rsid w:val="00F73FD5"/>
    <w:rsid w:val="00F755EA"/>
    <w:rsid w:val="00F75AE2"/>
    <w:rsid w:val="00F775BC"/>
    <w:rsid w:val="00F80A37"/>
    <w:rsid w:val="00F8157C"/>
    <w:rsid w:val="00F82122"/>
    <w:rsid w:val="00F837A1"/>
    <w:rsid w:val="00F84E26"/>
    <w:rsid w:val="00F8527B"/>
    <w:rsid w:val="00F85DE9"/>
    <w:rsid w:val="00F863C8"/>
    <w:rsid w:val="00F8676D"/>
    <w:rsid w:val="00F86F3F"/>
    <w:rsid w:val="00F87C6A"/>
    <w:rsid w:val="00F90330"/>
    <w:rsid w:val="00F90332"/>
    <w:rsid w:val="00F90378"/>
    <w:rsid w:val="00F90520"/>
    <w:rsid w:val="00F90690"/>
    <w:rsid w:val="00F917FE"/>
    <w:rsid w:val="00F91A27"/>
    <w:rsid w:val="00F92C80"/>
    <w:rsid w:val="00F933E7"/>
    <w:rsid w:val="00F947E6"/>
    <w:rsid w:val="00F94A65"/>
    <w:rsid w:val="00F956A0"/>
    <w:rsid w:val="00F95C02"/>
    <w:rsid w:val="00F96E0A"/>
    <w:rsid w:val="00F97862"/>
    <w:rsid w:val="00F9799A"/>
    <w:rsid w:val="00F97B89"/>
    <w:rsid w:val="00F97C8A"/>
    <w:rsid w:val="00FA07E7"/>
    <w:rsid w:val="00FA0802"/>
    <w:rsid w:val="00FA1430"/>
    <w:rsid w:val="00FA1C80"/>
    <w:rsid w:val="00FA1CFF"/>
    <w:rsid w:val="00FA1D38"/>
    <w:rsid w:val="00FA3794"/>
    <w:rsid w:val="00FA4CE2"/>
    <w:rsid w:val="00FA5374"/>
    <w:rsid w:val="00FA5585"/>
    <w:rsid w:val="00FA58B5"/>
    <w:rsid w:val="00FA5D9C"/>
    <w:rsid w:val="00FA5FFE"/>
    <w:rsid w:val="00FB03B3"/>
    <w:rsid w:val="00FB1085"/>
    <w:rsid w:val="00FB2CE0"/>
    <w:rsid w:val="00FB4775"/>
    <w:rsid w:val="00FB47E1"/>
    <w:rsid w:val="00FB4EFF"/>
    <w:rsid w:val="00FB5691"/>
    <w:rsid w:val="00FB6CC8"/>
    <w:rsid w:val="00FB6CD5"/>
    <w:rsid w:val="00FB7A2A"/>
    <w:rsid w:val="00FC0CB2"/>
    <w:rsid w:val="00FC2095"/>
    <w:rsid w:val="00FC3132"/>
    <w:rsid w:val="00FC3A00"/>
    <w:rsid w:val="00FC3A08"/>
    <w:rsid w:val="00FC4EB4"/>
    <w:rsid w:val="00FC55EE"/>
    <w:rsid w:val="00FC6F57"/>
    <w:rsid w:val="00FD064D"/>
    <w:rsid w:val="00FD1E05"/>
    <w:rsid w:val="00FD2205"/>
    <w:rsid w:val="00FD24BF"/>
    <w:rsid w:val="00FD2B15"/>
    <w:rsid w:val="00FD2D7D"/>
    <w:rsid w:val="00FD3585"/>
    <w:rsid w:val="00FD4D51"/>
    <w:rsid w:val="00FD53B4"/>
    <w:rsid w:val="00FD59EC"/>
    <w:rsid w:val="00FD5E8A"/>
    <w:rsid w:val="00FD67C5"/>
    <w:rsid w:val="00FD7259"/>
    <w:rsid w:val="00FD78DA"/>
    <w:rsid w:val="00FD7FC5"/>
    <w:rsid w:val="00FE2BA5"/>
    <w:rsid w:val="00FE2C22"/>
    <w:rsid w:val="00FE3273"/>
    <w:rsid w:val="00FE3867"/>
    <w:rsid w:val="00FE4D00"/>
    <w:rsid w:val="00FE626D"/>
    <w:rsid w:val="00FF05FC"/>
    <w:rsid w:val="00FF0777"/>
    <w:rsid w:val="00FF1318"/>
    <w:rsid w:val="00FF139B"/>
    <w:rsid w:val="00FF26F3"/>
    <w:rsid w:val="00FF2999"/>
    <w:rsid w:val="00FF43E4"/>
    <w:rsid w:val="00FF482B"/>
    <w:rsid w:val="00FF5E3A"/>
    <w:rsid w:val="00FF5F15"/>
    <w:rsid w:val="00FF69B4"/>
    <w:rsid w:val="00FF75CA"/>
    <w:rsid w:val="00FF77CB"/>
    <w:rsid w:val="00FF7B32"/>
    <w:rsid w:val="01995B0E"/>
    <w:rsid w:val="02947BB2"/>
    <w:rsid w:val="02C01ACD"/>
    <w:rsid w:val="02F160DC"/>
    <w:rsid w:val="06056C10"/>
    <w:rsid w:val="065D1765"/>
    <w:rsid w:val="0666580E"/>
    <w:rsid w:val="06C453DB"/>
    <w:rsid w:val="07141117"/>
    <w:rsid w:val="08C10875"/>
    <w:rsid w:val="091A360F"/>
    <w:rsid w:val="098D0C4D"/>
    <w:rsid w:val="099C43EE"/>
    <w:rsid w:val="09C01FBF"/>
    <w:rsid w:val="0A360B6D"/>
    <w:rsid w:val="0A38348D"/>
    <w:rsid w:val="0A7A7CFA"/>
    <w:rsid w:val="0A8638FE"/>
    <w:rsid w:val="0AFE5251"/>
    <w:rsid w:val="0B12230C"/>
    <w:rsid w:val="0C300E1D"/>
    <w:rsid w:val="0CCE0D62"/>
    <w:rsid w:val="0D892CEA"/>
    <w:rsid w:val="0E17022B"/>
    <w:rsid w:val="0E91001F"/>
    <w:rsid w:val="0F5C5DCB"/>
    <w:rsid w:val="0FCC4B00"/>
    <w:rsid w:val="0FFA00C0"/>
    <w:rsid w:val="10382C34"/>
    <w:rsid w:val="10AE33D3"/>
    <w:rsid w:val="11B67C3C"/>
    <w:rsid w:val="12064A78"/>
    <w:rsid w:val="12516E6E"/>
    <w:rsid w:val="127A77C1"/>
    <w:rsid w:val="12877679"/>
    <w:rsid w:val="12994553"/>
    <w:rsid w:val="12CE0BE0"/>
    <w:rsid w:val="1315645A"/>
    <w:rsid w:val="13567656"/>
    <w:rsid w:val="137F578F"/>
    <w:rsid w:val="13C44C6D"/>
    <w:rsid w:val="13C66838"/>
    <w:rsid w:val="13FB724D"/>
    <w:rsid w:val="1468384A"/>
    <w:rsid w:val="14841C1D"/>
    <w:rsid w:val="1508285A"/>
    <w:rsid w:val="15D90A9B"/>
    <w:rsid w:val="16242CF1"/>
    <w:rsid w:val="169F1079"/>
    <w:rsid w:val="16CE195E"/>
    <w:rsid w:val="19377828"/>
    <w:rsid w:val="19C71013"/>
    <w:rsid w:val="19D35C0A"/>
    <w:rsid w:val="1B265808"/>
    <w:rsid w:val="1B5F527B"/>
    <w:rsid w:val="1B80302A"/>
    <w:rsid w:val="1B8F1794"/>
    <w:rsid w:val="1BC0687F"/>
    <w:rsid w:val="1C8D55CF"/>
    <w:rsid w:val="1D6D41EF"/>
    <w:rsid w:val="1EAF4197"/>
    <w:rsid w:val="1ED5231A"/>
    <w:rsid w:val="1EEC5078"/>
    <w:rsid w:val="1F132900"/>
    <w:rsid w:val="1F566EB8"/>
    <w:rsid w:val="20052095"/>
    <w:rsid w:val="20E7201B"/>
    <w:rsid w:val="214156CA"/>
    <w:rsid w:val="21966D0C"/>
    <w:rsid w:val="21D74A07"/>
    <w:rsid w:val="22026C30"/>
    <w:rsid w:val="22D039C0"/>
    <w:rsid w:val="23321C2E"/>
    <w:rsid w:val="23D70B7F"/>
    <w:rsid w:val="23FA3D93"/>
    <w:rsid w:val="24CA533C"/>
    <w:rsid w:val="25050C41"/>
    <w:rsid w:val="251D242F"/>
    <w:rsid w:val="25233303"/>
    <w:rsid w:val="25753256"/>
    <w:rsid w:val="2584600A"/>
    <w:rsid w:val="258D30BB"/>
    <w:rsid w:val="263317DE"/>
    <w:rsid w:val="263B5FB4"/>
    <w:rsid w:val="268362C1"/>
    <w:rsid w:val="26FF6816"/>
    <w:rsid w:val="270C0CF8"/>
    <w:rsid w:val="274357CF"/>
    <w:rsid w:val="27801F72"/>
    <w:rsid w:val="27823886"/>
    <w:rsid w:val="27BD7D7A"/>
    <w:rsid w:val="27C56DF4"/>
    <w:rsid w:val="27C748D4"/>
    <w:rsid w:val="28022613"/>
    <w:rsid w:val="2964384D"/>
    <w:rsid w:val="29B11C23"/>
    <w:rsid w:val="29CB06AB"/>
    <w:rsid w:val="2A334180"/>
    <w:rsid w:val="2A8675BA"/>
    <w:rsid w:val="2A9F06CC"/>
    <w:rsid w:val="2B373B1E"/>
    <w:rsid w:val="2B57559C"/>
    <w:rsid w:val="2B756E42"/>
    <w:rsid w:val="2BB539CA"/>
    <w:rsid w:val="2C1A5536"/>
    <w:rsid w:val="2C485002"/>
    <w:rsid w:val="2C672279"/>
    <w:rsid w:val="2C68227D"/>
    <w:rsid w:val="2D3528D7"/>
    <w:rsid w:val="2D607C98"/>
    <w:rsid w:val="2D7805F1"/>
    <w:rsid w:val="2E094915"/>
    <w:rsid w:val="2EFC1307"/>
    <w:rsid w:val="2F0D5D38"/>
    <w:rsid w:val="2FBB2F70"/>
    <w:rsid w:val="2FDB6FBE"/>
    <w:rsid w:val="30153549"/>
    <w:rsid w:val="307A0CF3"/>
    <w:rsid w:val="30C20DC1"/>
    <w:rsid w:val="30CE028F"/>
    <w:rsid w:val="31035284"/>
    <w:rsid w:val="311F0868"/>
    <w:rsid w:val="31B152B7"/>
    <w:rsid w:val="31DD54A1"/>
    <w:rsid w:val="32382656"/>
    <w:rsid w:val="326071AE"/>
    <w:rsid w:val="32AA5162"/>
    <w:rsid w:val="34207F5B"/>
    <w:rsid w:val="34A00569"/>
    <w:rsid w:val="353D7F83"/>
    <w:rsid w:val="3586635B"/>
    <w:rsid w:val="361E7731"/>
    <w:rsid w:val="366426B3"/>
    <w:rsid w:val="37166CDE"/>
    <w:rsid w:val="376B43EE"/>
    <w:rsid w:val="378557A7"/>
    <w:rsid w:val="386B7213"/>
    <w:rsid w:val="388C002D"/>
    <w:rsid w:val="399F745E"/>
    <w:rsid w:val="39A131D7"/>
    <w:rsid w:val="39C717EA"/>
    <w:rsid w:val="39D04E19"/>
    <w:rsid w:val="3A045513"/>
    <w:rsid w:val="3A174BD9"/>
    <w:rsid w:val="3A60507D"/>
    <w:rsid w:val="3A955E78"/>
    <w:rsid w:val="3A9F57C7"/>
    <w:rsid w:val="3ABD0563"/>
    <w:rsid w:val="3B5A717D"/>
    <w:rsid w:val="3BEE4538"/>
    <w:rsid w:val="3C6A6ECC"/>
    <w:rsid w:val="3C6E0F5D"/>
    <w:rsid w:val="3C9E5462"/>
    <w:rsid w:val="3D0D0AAE"/>
    <w:rsid w:val="3D2E2080"/>
    <w:rsid w:val="3D4B10DD"/>
    <w:rsid w:val="3D8866B4"/>
    <w:rsid w:val="3DEF524F"/>
    <w:rsid w:val="3E037B09"/>
    <w:rsid w:val="3E483C21"/>
    <w:rsid w:val="3E756F33"/>
    <w:rsid w:val="3EA00DD4"/>
    <w:rsid w:val="3F151492"/>
    <w:rsid w:val="3F234470"/>
    <w:rsid w:val="3F235E61"/>
    <w:rsid w:val="3F43088C"/>
    <w:rsid w:val="3FC94672"/>
    <w:rsid w:val="403B4E27"/>
    <w:rsid w:val="40437B4B"/>
    <w:rsid w:val="407707ED"/>
    <w:rsid w:val="40D20119"/>
    <w:rsid w:val="4148218A"/>
    <w:rsid w:val="41C30914"/>
    <w:rsid w:val="41E81CB8"/>
    <w:rsid w:val="421E7CE0"/>
    <w:rsid w:val="43015811"/>
    <w:rsid w:val="4310247E"/>
    <w:rsid w:val="43C226B7"/>
    <w:rsid w:val="43E44844"/>
    <w:rsid w:val="44DA57EF"/>
    <w:rsid w:val="44DB31A3"/>
    <w:rsid w:val="45080F98"/>
    <w:rsid w:val="45475C4F"/>
    <w:rsid w:val="45CF06D9"/>
    <w:rsid w:val="45F10EBA"/>
    <w:rsid w:val="45FB56EF"/>
    <w:rsid w:val="46081EE8"/>
    <w:rsid w:val="468606A0"/>
    <w:rsid w:val="46CF6891"/>
    <w:rsid w:val="46FE585B"/>
    <w:rsid w:val="481366AF"/>
    <w:rsid w:val="482024E1"/>
    <w:rsid w:val="487429DE"/>
    <w:rsid w:val="493F59C0"/>
    <w:rsid w:val="49A45881"/>
    <w:rsid w:val="49D7231F"/>
    <w:rsid w:val="49E117CC"/>
    <w:rsid w:val="4A1658AB"/>
    <w:rsid w:val="4B1F18B5"/>
    <w:rsid w:val="4B3B62EA"/>
    <w:rsid w:val="4C147838"/>
    <w:rsid w:val="4C823A76"/>
    <w:rsid w:val="4CB72895"/>
    <w:rsid w:val="4CDC1F98"/>
    <w:rsid w:val="4DB1015B"/>
    <w:rsid w:val="4DBA6E7C"/>
    <w:rsid w:val="4E002804"/>
    <w:rsid w:val="4E3866B1"/>
    <w:rsid w:val="4E5B22A2"/>
    <w:rsid w:val="4E5E4D9B"/>
    <w:rsid w:val="4F1B22DD"/>
    <w:rsid w:val="4F3D70A6"/>
    <w:rsid w:val="4FAB016E"/>
    <w:rsid w:val="50151DD1"/>
    <w:rsid w:val="501F6AEC"/>
    <w:rsid w:val="507E7976"/>
    <w:rsid w:val="508A00C9"/>
    <w:rsid w:val="50B26DBD"/>
    <w:rsid w:val="50E10068"/>
    <w:rsid w:val="50E96550"/>
    <w:rsid w:val="50F6273E"/>
    <w:rsid w:val="5150472D"/>
    <w:rsid w:val="51694274"/>
    <w:rsid w:val="51EA3CB4"/>
    <w:rsid w:val="51F1661C"/>
    <w:rsid w:val="52143401"/>
    <w:rsid w:val="52295D9F"/>
    <w:rsid w:val="52824A68"/>
    <w:rsid w:val="53300DCE"/>
    <w:rsid w:val="5376698C"/>
    <w:rsid w:val="538047FB"/>
    <w:rsid w:val="54AB4A7B"/>
    <w:rsid w:val="54B56EEB"/>
    <w:rsid w:val="54DE6C35"/>
    <w:rsid w:val="554559EE"/>
    <w:rsid w:val="555B416B"/>
    <w:rsid w:val="555E7D76"/>
    <w:rsid w:val="556765A2"/>
    <w:rsid w:val="56002BDB"/>
    <w:rsid w:val="568F7D21"/>
    <w:rsid w:val="572F5526"/>
    <w:rsid w:val="5886561A"/>
    <w:rsid w:val="58874E91"/>
    <w:rsid w:val="58C85C32"/>
    <w:rsid w:val="59451E18"/>
    <w:rsid w:val="599E0C2C"/>
    <w:rsid w:val="5A04713E"/>
    <w:rsid w:val="5ABD109B"/>
    <w:rsid w:val="5ABE6869"/>
    <w:rsid w:val="5AD729AA"/>
    <w:rsid w:val="5B5C70B7"/>
    <w:rsid w:val="5B685D84"/>
    <w:rsid w:val="5BEF16E5"/>
    <w:rsid w:val="5C6043D4"/>
    <w:rsid w:val="5C935A59"/>
    <w:rsid w:val="5CC20090"/>
    <w:rsid w:val="5D7A7717"/>
    <w:rsid w:val="5DA93D17"/>
    <w:rsid w:val="5DE73FE0"/>
    <w:rsid w:val="5E226B73"/>
    <w:rsid w:val="5E2751A9"/>
    <w:rsid w:val="5E4853B5"/>
    <w:rsid w:val="5EA510B0"/>
    <w:rsid w:val="5FB75653"/>
    <w:rsid w:val="5FBF6B29"/>
    <w:rsid w:val="5FC8476A"/>
    <w:rsid w:val="607B475D"/>
    <w:rsid w:val="61C55405"/>
    <w:rsid w:val="62467BC8"/>
    <w:rsid w:val="63124125"/>
    <w:rsid w:val="6340588E"/>
    <w:rsid w:val="639257BA"/>
    <w:rsid w:val="64F419CC"/>
    <w:rsid w:val="657226D7"/>
    <w:rsid w:val="65C111B7"/>
    <w:rsid w:val="65DC4ACB"/>
    <w:rsid w:val="66660838"/>
    <w:rsid w:val="66A12093"/>
    <w:rsid w:val="66BF6CE4"/>
    <w:rsid w:val="66C537B1"/>
    <w:rsid w:val="672D78F1"/>
    <w:rsid w:val="67656598"/>
    <w:rsid w:val="677E3841"/>
    <w:rsid w:val="67902011"/>
    <w:rsid w:val="67AB5116"/>
    <w:rsid w:val="67B519A4"/>
    <w:rsid w:val="67F820A3"/>
    <w:rsid w:val="69616257"/>
    <w:rsid w:val="696B783B"/>
    <w:rsid w:val="69DF5F8B"/>
    <w:rsid w:val="6A411085"/>
    <w:rsid w:val="6ADB717C"/>
    <w:rsid w:val="6AE12B83"/>
    <w:rsid w:val="6C0F37CD"/>
    <w:rsid w:val="6C2F4193"/>
    <w:rsid w:val="6C4A5A9C"/>
    <w:rsid w:val="6C622D5E"/>
    <w:rsid w:val="6CF7495B"/>
    <w:rsid w:val="6D134293"/>
    <w:rsid w:val="6D3051D0"/>
    <w:rsid w:val="6DB3289F"/>
    <w:rsid w:val="6E72766D"/>
    <w:rsid w:val="6EAB5982"/>
    <w:rsid w:val="6EE76DD1"/>
    <w:rsid w:val="6F0B4673"/>
    <w:rsid w:val="6F3C65DA"/>
    <w:rsid w:val="6FD809F9"/>
    <w:rsid w:val="6FEA072C"/>
    <w:rsid w:val="70384D6B"/>
    <w:rsid w:val="70E63D3E"/>
    <w:rsid w:val="7125349A"/>
    <w:rsid w:val="7187760A"/>
    <w:rsid w:val="719F0F11"/>
    <w:rsid w:val="71BB5EDC"/>
    <w:rsid w:val="71E74F23"/>
    <w:rsid w:val="72D96708"/>
    <w:rsid w:val="72E17BC5"/>
    <w:rsid w:val="734C3AD7"/>
    <w:rsid w:val="73827B3A"/>
    <w:rsid w:val="73993FFB"/>
    <w:rsid w:val="73C979D4"/>
    <w:rsid w:val="73DF4EDD"/>
    <w:rsid w:val="73E13BF4"/>
    <w:rsid w:val="73E81E1D"/>
    <w:rsid w:val="74253B04"/>
    <w:rsid w:val="7440091B"/>
    <w:rsid w:val="74985842"/>
    <w:rsid w:val="750E0EA6"/>
    <w:rsid w:val="75441FE3"/>
    <w:rsid w:val="75550D0E"/>
    <w:rsid w:val="755723C0"/>
    <w:rsid w:val="757E21E4"/>
    <w:rsid w:val="75A91F29"/>
    <w:rsid w:val="75DF705C"/>
    <w:rsid w:val="76800515"/>
    <w:rsid w:val="76E94B77"/>
    <w:rsid w:val="772B4D77"/>
    <w:rsid w:val="77B01A10"/>
    <w:rsid w:val="78166F30"/>
    <w:rsid w:val="781F1403"/>
    <w:rsid w:val="78372035"/>
    <w:rsid w:val="78DD34D3"/>
    <w:rsid w:val="79A53FA3"/>
    <w:rsid w:val="79AC62EA"/>
    <w:rsid w:val="79D129F2"/>
    <w:rsid w:val="7A2324FE"/>
    <w:rsid w:val="7AA52EF9"/>
    <w:rsid w:val="7AFB7634"/>
    <w:rsid w:val="7B6F0D2E"/>
    <w:rsid w:val="7B705F89"/>
    <w:rsid w:val="7BDF4EBD"/>
    <w:rsid w:val="7BF74FFF"/>
    <w:rsid w:val="7C1C76F7"/>
    <w:rsid w:val="7C523CFD"/>
    <w:rsid w:val="7C7B2E38"/>
    <w:rsid w:val="7CA52B97"/>
    <w:rsid w:val="7CA6062A"/>
    <w:rsid w:val="7D455CFB"/>
    <w:rsid w:val="7D8E0949"/>
    <w:rsid w:val="7D9449F6"/>
    <w:rsid w:val="7E4505F9"/>
    <w:rsid w:val="7EB10D93"/>
    <w:rsid w:val="7EBC0C52"/>
    <w:rsid w:val="7F320D58"/>
    <w:rsid w:val="7F4B7E2D"/>
    <w:rsid w:val="7F914720"/>
    <w:rsid w:val="7FC23E1B"/>
    <w:rsid w:val="7FD15B99"/>
    <w:rsid w:val="7FDC1E3F"/>
    <w:rsid w:val="7FEC2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dashstyle="1 1" endcap="round"/>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0" w:semiHidden="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99"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qFormat="1" w:unhideWhenUsed="0" w:uiPriority="99" w:semiHidden="0" w:name="Hyperlink"/>
    <w:lsdException w:uiPriority="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ind w:left="200"/>
    </w:pPr>
    <w:rPr>
      <w:rFonts w:ascii="Times New Roman" w:hAnsi="Times New Roman" w:eastAsia="宋体" w:cs="Times New Roman"/>
      <w:kern w:val="2"/>
      <w:sz w:val="24"/>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keepNext/>
      <w:keepLines/>
      <w:spacing w:before="260" w:after="260" w:line="416" w:lineRule="auto"/>
      <w:outlineLvl w:val="1"/>
    </w:pPr>
    <w:rPr>
      <w:rFonts w:ascii="Cambria" w:hAnsi="Cambria"/>
      <w:b/>
      <w:bCs/>
      <w:sz w:val="32"/>
      <w:szCs w:val="32"/>
    </w:rPr>
  </w:style>
  <w:style w:type="paragraph" w:styleId="4">
    <w:name w:val="heading 3"/>
    <w:basedOn w:val="1"/>
    <w:next w:val="1"/>
    <w:qFormat/>
    <w:uiPriority w:val="0"/>
    <w:pPr>
      <w:keepNext/>
      <w:keepLines/>
      <w:spacing w:before="260" w:after="260" w:line="416" w:lineRule="auto"/>
      <w:outlineLvl w:val="2"/>
    </w:pPr>
    <w:rPr>
      <w:b/>
      <w:bCs/>
      <w:sz w:val="32"/>
      <w:szCs w:val="32"/>
    </w:rPr>
  </w:style>
  <w:style w:type="paragraph" w:styleId="5">
    <w:name w:val="heading 4"/>
    <w:basedOn w:val="1"/>
    <w:next w:val="1"/>
    <w:qFormat/>
    <w:uiPriority w:val="0"/>
    <w:pPr>
      <w:keepNext/>
      <w:keepLines/>
      <w:spacing w:before="280" w:after="290" w:line="376" w:lineRule="auto"/>
      <w:outlineLvl w:val="3"/>
    </w:pPr>
    <w:rPr>
      <w:rFonts w:ascii="Cambria" w:hAnsi="Cambria"/>
      <w:b/>
      <w:bCs/>
      <w:sz w:val="28"/>
      <w:szCs w:val="28"/>
    </w:rPr>
  </w:style>
  <w:style w:type="character" w:default="1" w:styleId="23">
    <w:name w:val="Default Paragraph Font"/>
    <w:semiHidden/>
    <w:unhideWhenUsed/>
    <w:qFormat/>
    <w:uiPriority w:val="1"/>
  </w:style>
  <w:style w:type="table" w:default="1" w:styleId="21">
    <w:name w:val="Normal Table"/>
    <w:semiHidden/>
    <w:unhideWhenUsed/>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link w:val="28"/>
    <w:qFormat/>
    <w:uiPriority w:val="0"/>
    <w:rPr>
      <w:sz w:val="21"/>
      <w:szCs w:val="20"/>
    </w:rPr>
  </w:style>
  <w:style w:type="paragraph" w:styleId="8">
    <w:name w:val="Body Text"/>
    <w:basedOn w:val="1"/>
    <w:qFormat/>
    <w:uiPriority w:val="99"/>
    <w:rPr>
      <w:rFonts w:eastAsia="仿宋_GB2312"/>
      <w:b/>
      <w:bCs/>
      <w:sz w:val="172"/>
      <w:szCs w:val="20"/>
    </w:rPr>
  </w:style>
  <w:style w:type="paragraph" w:styleId="9">
    <w:name w:val="Body Text Indent"/>
    <w:basedOn w:val="1"/>
    <w:qFormat/>
    <w:uiPriority w:val="0"/>
    <w:pPr>
      <w:spacing w:after="120"/>
      <w:ind w:left="420" w:leftChars="200"/>
    </w:pPr>
  </w:style>
  <w:style w:type="paragraph" w:styleId="10">
    <w:name w:val="Plain Text"/>
    <w:basedOn w:val="1"/>
    <w:qFormat/>
    <w:uiPriority w:val="0"/>
    <w:rPr>
      <w:rFonts w:ascii="宋体" w:hAnsi="Courier New"/>
      <w:szCs w:val="20"/>
    </w:rPr>
  </w:style>
  <w:style w:type="paragraph" w:styleId="11">
    <w:name w:val="Date"/>
    <w:basedOn w:val="1"/>
    <w:next w:val="1"/>
    <w:qFormat/>
    <w:uiPriority w:val="0"/>
    <w:pPr>
      <w:ind w:left="100" w:leftChars="2500"/>
    </w:pPr>
  </w:style>
  <w:style w:type="paragraph" w:styleId="12">
    <w:name w:val="Body Text Indent 2"/>
    <w:basedOn w:val="1"/>
    <w:qFormat/>
    <w:uiPriority w:val="0"/>
    <w:pPr>
      <w:spacing w:after="120" w:line="480" w:lineRule="auto"/>
      <w:ind w:left="420"/>
    </w:pPr>
  </w:style>
  <w:style w:type="paragraph" w:styleId="13">
    <w:name w:val="Balloon Text"/>
    <w:basedOn w:val="1"/>
    <w:link w:val="29"/>
    <w:qFormat/>
    <w:uiPriority w:val="0"/>
    <w:rPr>
      <w:sz w:val="18"/>
      <w:szCs w:val="18"/>
    </w:rPr>
  </w:style>
  <w:style w:type="paragraph" w:styleId="14">
    <w:name w:val="footer"/>
    <w:basedOn w:val="1"/>
    <w:link w:val="30"/>
    <w:qFormat/>
    <w:uiPriority w:val="0"/>
    <w:pPr>
      <w:tabs>
        <w:tab w:val="center" w:pos="4153"/>
        <w:tab w:val="right" w:pos="8306"/>
      </w:tabs>
      <w:snapToGrid w:val="0"/>
    </w:pPr>
    <w:rPr>
      <w:sz w:val="18"/>
      <w:szCs w:val="18"/>
    </w:rPr>
  </w:style>
  <w:style w:type="paragraph" w:styleId="15">
    <w:name w:val="header"/>
    <w:basedOn w:val="1"/>
    <w:link w:val="31"/>
    <w:qFormat/>
    <w:uiPriority w:val="0"/>
    <w:pPr>
      <w:pBdr>
        <w:bottom w:val="single" w:color="auto" w:sz="6" w:space="1"/>
      </w:pBdr>
      <w:tabs>
        <w:tab w:val="center" w:pos="4153"/>
        <w:tab w:val="right" w:pos="8306"/>
      </w:tabs>
      <w:snapToGrid w:val="0"/>
      <w:jc w:val="center"/>
    </w:pPr>
    <w:rPr>
      <w:sz w:val="18"/>
      <w:szCs w:val="18"/>
    </w:rPr>
  </w:style>
  <w:style w:type="paragraph" w:styleId="16">
    <w:name w:val="toc 1"/>
    <w:basedOn w:val="1"/>
    <w:next w:val="1"/>
    <w:qFormat/>
    <w:uiPriority w:val="39"/>
  </w:style>
  <w:style w:type="paragraph" w:styleId="17">
    <w:name w:val="toc 2"/>
    <w:basedOn w:val="1"/>
    <w:next w:val="1"/>
    <w:qFormat/>
    <w:uiPriority w:val="0"/>
    <w:pPr>
      <w:ind w:left="420" w:leftChars="200"/>
    </w:pPr>
  </w:style>
  <w:style w:type="paragraph" w:styleId="18">
    <w:name w:val="Normal (Web)"/>
    <w:basedOn w:val="1"/>
    <w:qFormat/>
    <w:uiPriority w:val="0"/>
    <w:pPr>
      <w:spacing w:before="100" w:beforeAutospacing="1" w:after="100" w:afterAutospacing="1"/>
    </w:pPr>
    <w:rPr>
      <w:rFonts w:ascii="宋体" w:hAnsi="宋体" w:cs="宋体"/>
      <w:kern w:val="0"/>
    </w:rPr>
  </w:style>
  <w:style w:type="paragraph" w:styleId="19">
    <w:name w:val="Title"/>
    <w:basedOn w:val="1"/>
    <w:link w:val="32"/>
    <w:qFormat/>
    <w:uiPriority w:val="10"/>
    <w:pPr>
      <w:spacing w:before="240" w:after="60"/>
      <w:jc w:val="center"/>
      <w:outlineLvl w:val="0"/>
    </w:pPr>
    <w:rPr>
      <w:rFonts w:ascii="Cambria" w:hAnsi="Cambria"/>
      <w:b/>
      <w:bCs/>
      <w:sz w:val="32"/>
      <w:szCs w:val="32"/>
    </w:rPr>
  </w:style>
  <w:style w:type="paragraph" w:styleId="20">
    <w:name w:val="annotation subject"/>
    <w:basedOn w:val="7"/>
    <w:next w:val="7"/>
    <w:link w:val="33"/>
    <w:qFormat/>
    <w:uiPriority w:val="0"/>
  </w:style>
  <w:style w:type="table" w:styleId="22">
    <w:name w:val="Table Grid"/>
    <w:basedOn w:val="2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4">
    <w:name w:val="Strong"/>
    <w:basedOn w:val="23"/>
    <w:qFormat/>
    <w:uiPriority w:val="0"/>
    <w:rPr>
      <w:b/>
      <w:bCs/>
    </w:rPr>
  </w:style>
  <w:style w:type="character" w:styleId="25">
    <w:name w:val="page number"/>
    <w:basedOn w:val="23"/>
    <w:qFormat/>
    <w:uiPriority w:val="0"/>
  </w:style>
  <w:style w:type="character" w:styleId="26">
    <w:name w:val="Hyperlink"/>
    <w:qFormat/>
    <w:uiPriority w:val="99"/>
    <w:rPr>
      <w:color w:val="0000FF"/>
      <w:u w:val="single"/>
    </w:rPr>
  </w:style>
  <w:style w:type="character" w:styleId="27">
    <w:name w:val="annotation reference"/>
    <w:qFormat/>
    <w:uiPriority w:val="0"/>
    <w:rPr>
      <w:sz w:val="21"/>
      <w:szCs w:val="21"/>
    </w:rPr>
  </w:style>
  <w:style w:type="character" w:customStyle="1" w:styleId="28">
    <w:name w:val="批注文字 字符"/>
    <w:link w:val="7"/>
    <w:qFormat/>
    <w:uiPriority w:val="0"/>
    <w:rPr>
      <w:kern w:val="2"/>
      <w:sz w:val="21"/>
    </w:rPr>
  </w:style>
  <w:style w:type="character" w:customStyle="1" w:styleId="29">
    <w:name w:val="批注框文本 字符"/>
    <w:link w:val="13"/>
    <w:qFormat/>
    <w:uiPriority w:val="0"/>
    <w:rPr>
      <w:kern w:val="2"/>
      <w:sz w:val="18"/>
      <w:szCs w:val="18"/>
    </w:rPr>
  </w:style>
  <w:style w:type="character" w:customStyle="1" w:styleId="30">
    <w:name w:val="页脚 字符"/>
    <w:link w:val="14"/>
    <w:qFormat/>
    <w:uiPriority w:val="0"/>
    <w:rPr>
      <w:rFonts w:eastAsia="宋体"/>
      <w:kern w:val="2"/>
      <w:sz w:val="18"/>
      <w:szCs w:val="18"/>
      <w:lang w:val="en-US" w:eastAsia="zh-CN" w:bidi="ar-SA"/>
    </w:rPr>
  </w:style>
  <w:style w:type="character" w:customStyle="1" w:styleId="31">
    <w:name w:val="页眉 字符"/>
    <w:link w:val="15"/>
    <w:qFormat/>
    <w:uiPriority w:val="0"/>
    <w:rPr>
      <w:rFonts w:eastAsia="宋体"/>
      <w:kern w:val="2"/>
      <w:sz w:val="18"/>
      <w:szCs w:val="18"/>
      <w:lang w:val="en-US" w:eastAsia="zh-CN" w:bidi="ar-SA"/>
    </w:rPr>
  </w:style>
  <w:style w:type="character" w:customStyle="1" w:styleId="32">
    <w:name w:val="标题 字符"/>
    <w:link w:val="19"/>
    <w:qFormat/>
    <w:uiPriority w:val="10"/>
    <w:rPr>
      <w:rFonts w:ascii="Cambria" w:hAnsi="Cambria" w:cs="Times New Roman"/>
      <w:b/>
      <w:bCs/>
      <w:kern w:val="2"/>
      <w:sz w:val="32"/>
      <w:szCs w:val="32"/>
    </w:rPr>
  </w:style>
  <w:style w:type="character" w:customStyle="1" w:styleId="33">
    <w:name w:val="批注主题 字符"/>
    <w:link w:val="20"/>
    <w:qFormat/>
    <w:uiPriority w:val="0"/>
    <w:rPr>
      <w:kern w:val="2"/>
      <w:sz w:val="21"/>
    </w:rPr>
  </w:style>
  <w:style w:type="character" w:customStyle="1" w:styleId="34">
    <w:name w:val="样式 黑体 小四 Char Char"/>
    <w:link w:val="35"/>
    <w:qFormat/>
    <w:uiPriority w:val="0"/>
    <w:rPr>
      <w:rFonts w:ascii="黑体" w:hAnsi="Arial" w:eastAsia="黑体" w:cs="Arial"/>
      <w:b/>
      <w:bCs/>
      <w:kern w:val="2"/>
      <w:sz w:val="24"/>
      <w:szCs w:val="32"/>
      <w:lang w:val="en-US" w:eastAsia="zh-CN" w:bidi="ar-SA"/>
    </w:rPr>
  </w:style>
  <w:style w:type="paragraph" w:customStyle="1" w:styleId="35">
    <w:name w:val="样式 黑体 小四"/>
    <w:basedOn w:val="19"/>
    <w:link w:val="34"/>
    <w:qFormat/>
    <w:uiPriority w:val="0"/>
    <w:rPr>
      <w:rFonts w:ascii="黑体" w:hAnsi="Arial" w:eastAsia="黑体" w:cs="Arial"/>
      <w:sz w:val="24"/>
    </w:rPr>
  </w:style>
  <w:style w:type="character" w:customStyle="1" w:styleId="36">
    <w:name w:val="样式 黑体 四号 Char Char"/>
    <w:link w:val="37"/>
    <w:qFormat/>
    <w:uiPriority w:val="0"/>
    <w:rPr>
      <w:rFonts w:ascii="黑体" w:hAnsi="Arial" w:eastAsia="黑体" w:cs="Arial"/>
      <w:b/>
      <w:bCs/>
      <w:kern w:val="2"/>
      <w:sz w:val="28"/>
      <w:szCs w:val="28"/>
      <w:lang w:val="en-US" w:eastAsia="zh-CN" w:bidi="ar-SA"/>
    </w:rPr>
  </w:style>
  <w:style w:type="paragraph" w:customStyle="1" w:styleId="37">
    <w:name w:val="样式 黑体 四号"/>
    <w:basedOn w:val="19"/>
    <w:link w:val="36"/>
    <w:qFormat/>
    <w:uiPriority w:val="0"/>
    <w:rPr>
      <w:rFonts w:ascii="黑体" w:hAnsi="Arial" w:eastAsia="黑体" w:cs="Arial"/>
      <w:sz w:val="28"/>
      <w:szCs w:val="28"/>
    </w:rPr>
  </w:style>
  <w:style w:type="character" w:customStyle="1" w:styleId="38">
    <w:name w:val="样式 黑体 四号 Char"/>
    <w:qFormat/>
    <w:uiPriority w:val="0"/>
    <w:rPr>
      <w:rFonts w:ascii="黑体" w:hAnsi="Arial" w:eastAsia="黑体" w:cs="Arial"/>
      <w:b/>
      <w:bCs/>
      <w:kern w:val="2"/>
      <w:sz w:val="28"/>
      <w:szCs w:val="28"/>
      <w:lang w:val="en-US" w:eastAsia="zh-CN" w:bidi="ar-SA"/>
    </w:rPr>
  </w:style>
  <w:style w:type="character" w:customStyle="1" w:styleId="39">
    <w:name w:val="标题4 Char"/>
    <w:link w:val="40"/>
    <w:qFormat/>
    <w:uiPriority w:val="0"/>
    <w:rPr>
      <w:rFonts w:eastAsia="宋体"/>
      <w:kern w:val="2"/>
      <w:sz w:val="21"/>
      <w:lang w:val="en-US" w:eastAsia="zh-CN" w:bidi="ar-SA"/>
    </w:rPr>
  </w:style>
  <w:style w:type="paragraph" w:customStyle="1" w:styleId="40">
    <w:name w:val="标题4"/>
    <w:basedOn w:val="1"/>
    <w:link w:val="39"/>
    <w:qFormat/>
    <w:uiPriority w:val="0"/>
    <w:pPr>
      <w:numPr>
        <w:ilvl w:val="0"/>
        <w:numId w:val="1"/>
      </w:numPr>
    </w:pPr>
    <w:rPr>
      <w:sz w:val="21"/>
      <w:szCs w:val="20"/>
    </w:rPr>
  </w:style>
  <w:style w:type="character" w:customStyle="1" w:styleId="41">
    <w:name w:val="a9_text1"/>
    <w:qFormat/>
    <w:uiPriority w:val="0"/>
    <w:rPr>
      <w:rFonts w:hint="default" w:ascii="Arial" w:hAnsi="Arial" w:cs="Arial"/>
      <w:color w:val="525252"/>
      <w:sz w:val="18"/>
      <w:szCs w:val="18"/>
      <w:u w:val="none"/>
    </w:rPr>
  </w:style>
  <w:style w:type="character" w:customStyle="1" w:styleId="42">
    <w:name w:val="apple-converted-space"/>
    <w:basedOn w:val="23"/>
    <w:qFormat/>
    <w:uiPriority w:val="0"/>
  </w:style>
  <w:style w:type="paragraph" w:customStyle="1" w:styleId="43">
    <w:name w:val="Char"/>
    <w:basedOn w:val="1"/>
    <w:qFormat/>
    <w:uiPriority w:val="0"/>
    <w:pPr>
      <w:spacing w:after="160" w:line="240" w:lineRule="exact"/>
    </w:pPr>
    <w:rPr>
      <w:rFonts w:ascii="Verdana" w:hAnsi="Verdana"/>
      <w:kern w:val="0"/>
      <w:sz w:val="18"/>
      <w:szCs w:val="20"/>
      <w:lang w:eastAsia="en-US"/>
    </w:rPr>
  </w:style>
  <w:style w:type="paragraph" w:customStyle="1" w:styleId="44">
    <w:name w:val="样式 标准文件_段 + 小四"/>
    <w:basedOn w:val="2"/>
    <w:qFormat/>
    <w:uiPriority w:val="0"/>
    <w:rPr>
      <w:rFonts w:cs="宋体"/>
      <w:b w:val="0"/>
      <w:sz w:val="24"/>
    </w:rPr>
  </w:style>
  <w:style w:type="paragraph" w:customStyle="1" w:styleId="45">
    <w:name w:val="标准文件_一级条标题"/>
    <w:basedOn w:val="46"/>
    <w:next w:val="47"/>
    <w:qFormat/>
    <w:uiPriority w:val="0"/>
    <w:pPr>
      <w:numPr>
        <w:ilvl w:val="2"/>
      </w:numPr>
      <w:outlineLvl w:val="2"/>
    </w:pPr>
  </w:style>
  <w:style w:type="paragraph" w:customStyle="1" w:styleId="46">
    <w:name w:val="标准文件_章标题"/>
    <w:next w:val="47"/>
    <w:qFormat/>
    <w:uiPriority w:val="0"/>
    <w:pPr>
      <w:numPr>
        <w:ilvl w:val="1"/>
        <w:numId w:val="2"/>
      </w:numPr>
      <w:spacing w:beforeLines="50" w:afterLines="50"/>
      <w:ind w:right="-50" w:rightChars="-50"/>
      <w:jc w:val="both"/>
      <w:outlineLvl w:val="1"/>
    </w:pPr>
    <w:rPr>
      <w:rFonts w:ascii="黑体" w:hAnsi="Times New Roman" w:eastAsia="黑体" w:cs="Times New Roman"/>
      <w:spacing w:val="2"/>
      <w:sz w:val="21"/>
      <w:lang w:val="en-US" w:eastAsia="zh-CN" w:bidi="ar-SA"/>
    </w:rPr>
  </w:style>
  <w:style w:type="paragraph" w:customStyle="1" w:styleId="47">
    <w:name w:val="标准文件_段"/>
    <w:qFormat/>
    <w:uiPriority w:val="0"/>
    <w:pPr>
      <w:widowControl w:val="0"/>
      <w:autoSpaceDE w:val="0"/>
      <w:autoSpaceDN w:val="0"/>
      <w:spacing w:line="276" w:lineRule="auto"/>
      <w:ind w:left="200" w:firstLine="428" w:firstLineChars="200"/>
      <w:jc w:val="center"/>
    </w:pPr>
    <w:rPr>
      <w:rFonts w:ascii="Times New Roman" w:hAnsi="Times New Roman" w:eastAsia="宋体" w:cs="Times New Roman"/>
      <w:spacing w:val="2"/>
      <w:sz w:val="21"/>
      <w:szCs w:val="21"/>
      <w:lang w:val="en-US" w:eastAsia="zh-CN" w:bidi="ar-SA"/>
    </w:rPr>
  </w:style>
  <w:style w:type="paragraph" w:customStyle="1" w:styleId="48">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49">
    <w:name w:val="标准文件_五级条标题"/>
    <w:basedOn w:val="50"/>
    <w:next w:val="47"/>
    <w:qFormat/>
    <w:uiPriority w:val="0"/>
    <w:pPr>
      <w:numPr>
        <w:ilvl w:val="6"/>
      </w:numPr>
      <w:outlineLvl w:val="6"/>
    </w:pPr>
  </w:style>
  <w:style w:type="paragraph" w:customStyle="1" w:styleId="50">
    <w:name w:val="标准文件_四级条标题"/>
    <w:basedOn w:val="51"/>
    <w:next w:val="47"/>
    <w:qFormat/>
    <w:uiPriority w:val="0"/>
    <w:pPr>
      <w:numPr>
        <w:ilvl w:val="5"/>
      </w:numPr>
      <w:outlineLvl w:val="5"/>
    </w:pPr>
  </w:style>
  <w:style w:type="paragraph" w:customStyle="1" w:styleId="51">
    <w:name w:val="标准文件_三级条标题"/>
    <w:basedOn w:val="52"/>
    <w:next w:val="47"/>
    <w:qFormat/>
    <w:uiPriority w:val="0"/>
    <w:pPr>
      <w:numPr>
        <w:ilvl w:val="4"/>
      </w:numPr>
      <w:ind w:left="-50"/>
      <w:outlineLvl w:val="4"/>
    </w:pPr>
  </w:style>
  <w:style w:type="paragraph" w:customStyle="1" w:styleId="52">
    <w:name w:val="标准文件_二级条标题"/>
    <w:basedOn w:val="45"/>
    <w:next w:val="47"/>
    <w:qFormat/>
    <w:uiPriority w:val="0"/>
    <w:pPr>
      <w:numPr>
        <w:ilvl w:val="3"/>
      </w:numPr>
      <w:outlineLvl w:val="3"/>
    </w:pPr>
  </w:style>
  <w:style w:type="paragraph" w:customStyle="1" w:styleId="53">
    <w:name w:val="Char Char Char1 Char Char Char Char Char Char Char Char Char Char"/>
    <w:basedOn w:val="1"/>
    <w:qFormat/>
    <w:uiPriority w:val="0"/>
    <w:pPr>
      <w:spacing w:after="160" w:line="240" w:lineRule="exact"/>
    </w:pPr>
    <w:rPr>
      <w:rFonts w:ascii="Verdana" w:hAnsi="Verdana"/>
      <w:kern w:val="0"/>
      <w:sz w:val="18"/>
      <w:szCs w:val="20"/>
      <w:lang w:eastAsia="en-US"/>
    </w:rPr>
  </w:style>
  <w:style w:type="paragraph" w:customStyle="1" w:styleId="54">
    <w:name w:val="标准文件_标准代替"/>
    <w:basedOn w:val="1"/>
    <w:next w:val="1"/>
    <w:qFormat/>
    <w:uiPriority w:val="0"/>
    <w:pPr>
      <w:adjustRightInd w:val="0"/>
      <w:spacing w:line="310" w:lineRule="exact"/>
      <w:jc w:val="right"/>
    </w:pPr>
    <w:rPr>
      <w:rFonts w:ascii="宋体"/>
      <w:kern w:val="0"/>
      <w:szCs w:val="20"/>
    </w:rPr>
  </w:style>
  <w:style w:type="paragraph" w:customStyle="1" w:styleId="55">
    <w:name w:val="样式1"/>
    <w:basedOn w:val="5"/>
    <w:qFormat/>
    <w:uiPriority w:val="0"/>
  </w:style>
  <w:style w:type="paragraph" w:customStyle="1" w:styleId="56">
    <w:name w:val="样式 黑体 小三 居中"/>
    <w:basedOn w:val="19"/>
    <w:qFormat/>
    <w:uiPriority w:val="0"/>
    <w:rPr>
      <w:rFonts w:ascii="黑体" w:hAnsi="黑体" w:eastAsia="黑体" w:cs="宋体"/>
      <w:sz w:val="30"/>
      <w:szCs w:val="20"/>
    </w:rPr>
  </w:style>
  <w:style w:type="paragraph" w:customStyle="1" w:styleId="57">
    <w:name w:val="封面标准英文名称"/>
    <w:qFormat/>
    <w:uiPriority w:val="0"/>
    <w:pPr>
      <w:widowControl w:val="0"/>
      <w:spacing w:before="370" w:line="400" w:lineRule="exact"/>
      <w:ind w:left="200"/>
      <w:jc w:val="center"/>
    </w:pPr>
    <w:rPr>
      <w:rFonts w:ascii="Times New Roman" w:hAnsi="Times New Roman" w:eastAsia="宋体" w:cs="Times New Roman"/>
      <w:sz w:val="28"/>
      <w:lang w:val="en-US" w:eastAsia="zh-CN" w:bidi="ar-SA"/>
    </w:rPr>
  </w:style>
  <w:style w:type="paragraph" w:customStyle="1" w:styleId="58">
    <w:name w:val="样式 黑体 小三 居中1"/>
    <w:basedOn w:val="19"/>
    <w:qFormat/>
    <w:uiPriority w:val="0"/>
    <w:rPr>
      <w:rFonts w:ascii="黑体" w:hAnsi="黑体" w:eastAsia="黑体" w:cs="宋体"/>
      <w:sz w:val="30"/>
      <w:szCs w:val="20"/>
    </w:rPr>
  </w:style>
  <w:style w:type="character" w:styleId="59">
    <w:name w:val="Placeholder Text"/>
    <w:unhideWhenUsed/>
    <w:qFormat/>
    <w:uiPriority w:val="99"/>
    <w:rPr>
      <w:color w:val="808080"/>
    </w:rPr>
  </w:style>
  <w:style w:type="table" w:customStyle="1" w:styleId="60">
    <w:name w:val="网格型1"/>
    <w:basedOn w:val="21"/>
    <w:qFormat/>
    <w:uiPriority w:val="59"/>
    <w:rPr>
      <w:rFonts w:ascii="Calibri" w:hAnsi="Calibri"/>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61">
    <w:name w:val="List Paragraph"/>
    <w:basedOn w:val="1"/>
    <w:qFormat/>
    <w:uiPriority w:val="34"/>
    <w:pPr>
      <w:ind w:firstLine="420" w:firstLineChars="200"/>
    </w:pPr>
  </w:style>
  <w:style w:type="paragraph" w:customStyle="1" w:styleId="62">
    <w:name w:val="标题1"/>
    <w:basedOn w:val="35"/>
    <w:qFormat/>
    <w:uiPriority w:val="0"/>
    <w:pPr>
      <w:spacing w:line="360" w:lineRule="auto"/>
      <w:jc w:val="left"/>
    </w:pPr>
    <w:rPr>
      <w:rFonts w:hAnsi="Times New Roman"/>
      <w:b w:val="0"/>
    </w:rPr>
  </w:style>
  <w:style w:type="paragraph" w:customStyle="1" w:styleId="63">
    <w:name w:val="标题2"/>
    <w:basedOn w:val="1"/>
    <w:qFormat/>
    <w:uiPriority w:val="0"/>
    <w:pPr>
      <w:spacing w:line="360" w:lineRule="auto"/>
      <w:outlineLvl w:val="0"/>
    </w:pPr>
  </w:style>
  <w:style w:type="table" w:customStyle="1" w:styleId="64">
    <w:name w:val="网格型2"/>
    <w:basedOn w:val="21"/>
    <w:qFormat/>
    <w:uiPriority w:val="59"/>
    <w:rPr>
      <w:rFonts w:ascii="Calibri" w:hAnsi="Calibri"/>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
    <w:name w:val="网格型3"/>
    <w:basedOn w:val="2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66">
    <w:name w:val="No Spacing"/>
    <w:qFormat/>
    <w:uiPriority w:val="1"/>
    <w:pPr>
      <w:ind w:left="200"/>
    </w:pPr>
    <w:rPr>
      <w:rFonts w:ascii="Times New Roman" w:hAnsi="Times New Roman" w:eastAsia="宋体" w:cs="Times New Roman"/>
      <w:kern w:val="2"/>
      <w:sz w:val="24"/>
      <w:szCs w:val="24"/>
      <w:lang w:val="en-US" w:eastAsia="zh-CN" w:bidi="ar-SA"/>
    </w:rPr>
  </w:style>
  <w:style w:type="paragraph" w:customStyle="1" w:styleId="67">
    <w:name w:val="Body text|5"/>
    <w:basedOn w:val="1"/>
    <w:qFormat/>
    <w:uiPriority w:val="0"/>
    <w:pPr>
      <w:widowControl w:val="0"/>
      <w:spacing w:line="641" w:lineRule="exact"/>
      <w:ind w:left="0"/>
      <w:jc w:val="both"/>
    </w:pPr>
    <w:rPr>
      <w:sz w:val="32"/>
      <w:szCs w:val="32"/>
    </w:rPr>
  </w:style>
  <w:style w:type="paragraph" w:customStyle="1" w:styleId="68">
    <w:name w:val="Body text|2"/>
    <w:basedOn w:val="1"/>
    <w:qFormat/>
    <w:uiPriority w:val="0"/>
    <w:pPr>
      <w:widowControl w:val="0"/>
      <w:spacing w:after="300"/>
      <w:ind w:left="0"/>
      <w:jc w:val="center"/>
    </w:pPr>
    <w:rPr>
      <w:rFonts w:ascii="宋体" w:hAnsi="宋体" w:cs="宋体"/>
      <w:sz w:val="34"/>
      <w:szCs w:val="34"/>
      <w:lang w:val="zh-TW" w:eastAsia="zh-TW" w:bidi="zh-TW"/>
    </w:rPr>
  </w:style>
  <w:style w:type="character" w:customStyle="1" w:styleId="69">
    <w:name w:val="mord"/>
    <w:basedOn w:val="23"/>
    <w:qFormat/>
    <w:uiPriority w:val="0"/>
  </w:style>
  <w:style w:type="character" w:customStyle="1" w:styleId="70">
    <w:name w:val="mspace"/>
    <w:basedOn w:val="23"/>
    <w:qFormat/>
    <w:uiPriority w:val="0"/>
  </w:style>
  <w:style w:type="character" w:customStyle="1" w:styleId="71">
    <w:name w:val="mrel"/>
    <w:basedOn w:val="23"/>
    <w:qFormat/>
    <w:uiPriority w:val="0"/>
  </w:style>
  <w:style w:type="character" w:customStyle="1" w:styleId="72">
    <w:name w:val="vlist-s"/>
    <w:basedOn w:val="23"/>
    <w:qFormat/>
    <w:uiPriority w:val="0"/>
  </w:style>
  <w:style w:type="paragraph" w:customStyle="1" w:styleId="73">
    <w:name w:val="Compact"/>
    <w:basedOn w:val="8"/>
    <w:qFormat/>
    <w:uiPriority w:val="0"/>
    <w:pPr>
      <w:spacing w:before="36" w:after="36"/>
    </w:pPr>
  </w:style>
  <w:style w:type="table" w:customStyle="1" w:styleId="74">
    <w:name w:val="Table"/>
    <w:semiHidden/>
    <w:unhideWhenUsed/>
    <w:qFormat/>
    <w:uiPriority w:val="0"/>
    <w:tblPr>
      <w:tblCellMar>
        <w:top w:w="0" w:type="dxa"/>
        <w:left w:w="108" w:type="dxa"/>
        <w:bottom w:w="0" w:type="dxa"/>
        <w:right w:w="108" w:type="dxa"/>
      </w:tblCellMar>
    </w:tblPr>
    <w:tblStylePr w:type="firstRow">
      <w:tcPr>
        <w:tcBorders>
          <w:bottom w:val="single" w:color="auto" w:sz="0" w:space="0"/>
        </w:tcBorders>
        <w:vAlign w:val="bottom"/>
      </w:tcPr>
    </w:tblStylePr>
  </w:style>
</w:styles>
</file>

<file path=word/_rels/document.xml.rels><?xml version="1.0" encoding="UTF-8" standalone="yes"?>
<Relationships xmlns="http://schemas.openxmlformats.org/package/2006/relationships"><Relationship Id="rId99" Type="http://schemas.openxmlformats.org/officeDocument/2006/relationships/image" Target="media/image46.wmf"/><Relationship Id="rId98" Type="http://schemas.openxmlformats.org/officeDocument/2006/relationships/oleObject" Target="embeddings/oleObject38.bin"/><Relationship Id="rId97" Type="http://schemas.openxmlformats.org/officeDocument/2006/relationships/image" Target="media/image45.wmf"/><Relationship Id="rId96" Type="http://schemas.openxmlformats.org/officeDocument/2006/relationships/oleObject" Target="embeddings/oleObject37.bin"/><Relationship Id="rId95" Type="http://schemas.openxmlformats.org/officeDocument/2006/relationships/image" Target="media/image44.wmf"/><Relationship Id="rId94" Type="http://schemas.openxmlformats.org/officeDocument/2006/relationships/image" Target="media/image43.wmf"/><Relationship Id="rId93" Type="http://schemas.openxmlformats.org/officeDocument/2006/relationships/image" Target="media/image42.wmf"/><Relationship Id="rId92" Type="http://schemas.openxmlformats.org/officeDocument/2006/relationships/image" Target="media/image41.wmf"/><Relationship Id="rId91" Type="http://schemas.openxmlformats.org/officeDocument/2006/relationships/image" Target="media/image40.emf"/><Relationship Id="rId90" Type="http://schemas.openxmlformats.org/officeDocument/2006/relationships/image" Target="media/image39.wmf"/><Relationship Id="rId9" Type="http://schemas.openxmlformats.org/officeDocument/2006/relationships/footer" Target="footer3.xml"/><Relationship Id="rId89" Type="http://schemas.openxmlformats.org/officeDocument/2006/relationships/image" Target="media/image38.emf"/><Relationship Id="rId88" Type="http://schemas.openxmlformats.org/officeDocument/2006/relationships/image" Target="media/image37.wmf"/><Relationship Id="rId87" Type="http://schemas.openxmlformats.org/officeDocument/2006/relationships/image" Target="media/image36.wmf"/><Relationship Id="rId86" Type="http://schemas.openxmlformats.org/officeDocument/2006/relationships/oleObject" Target="embeddings/oleObject36.bin"/><Relationship Id="rId85" Type="http://schemas.openxmlformats.org/officeDocument/2006/relationships/image" Target="media/image35.wmf"/><Relationship Id="rId84" Type="http://schemas.openxmlformats.org/officeDocument/2006/relationships/oleObject" Target="embeddings/oleObject35.bin"/><Relationship Id="rId83" Type="http://schemas.openxmlformats.org/officeDocument/2006/relationships/image" Target="media/image34.wmf"/><Relationship Id="rId82" Type="http://schemas.openxmlformats.org/officeDocument/2006/relationships/oleObject" Target="embeddings/oleObject34.bin"/><Relationship Id="rId81" Type="http://schemas.openxmlformats.org/officeDocument/2006/relationships/image" Target="media/image33.wmf"/><Relationship Id="rId80" Type="http://schemas.openxmlformats.org/officeDocument/2006/relationships/oleObject" Target="embeddings/oleObject33.bin"/><Relationship Id="rId8" Type="http://schemas.openxmlformats.org/officeDocument/2006/relationships/header" Target="header4.xml"/><Relationship Id="rId79" Type="http://schemas.openxmlformats.org/officeDocument/2006/relationships/image" Target="media/image32.wmf"/><Relationship Id="rId78" Type="http://schemas.openxmlformats.org/officeDocument/2006/relationships/oleObject" Target="embeddings/oleObject32.bin"/><Relationship Id="rId77" Type="http://schemas.openxmlformats.org/officeDocument/2006/relationships/image" Target="media/image31.wmf"/><Relationship Id="rId76" Type="http://schemas.openxmlformats.org/officeDocument/2006/relationships/oleObject" Target="embeddings/oleObject31.bin"/><Relationship Id="rId75" Type="http://schemas.openxmlformats.org/officeDocument/2006/relationships/image" Target="media/image30.wmf"/><Relationship Id="rId74" Type="http://schemas.openxmlformats.org/officeDocument/2006/relationships/oleObject" Target="embeddings/oleObject30.bin"/><Relationship Id="rId73" Type="http://schemas.openxmlformats.org/officeDocument/2006/relationships/image" Target="media/image29.wmf"/><Relationship Id="rId72" Type="http://schemas.openxmlformats.org/officeDocument/2006/relationships/oleObject" Target="embeddings/oleObject29.bin"/><Relationship Id="rId71" Type="http://schemas.openxmlformats.org/officeDocument/2006/relationships/image" Target="media/image28.wmf"/><Relationship Id="rId70" Type="http://schemas.openxmlformats.org/officeDocument/2006/relationships/oleObject" Target="embeddings/oleObject28.bin"/><Relationship Id="rId7" Type="http://schemas.openxmlformats.org/officeDocument/2006/relationships/footer" Target="footer2.xml"/><Relationship Id="rId69" Type="http://schemas.openxmlformats.org/officeDocument/2006/relationships/image" Target="media/image27.wmf"/><Relationship Id="rId68" Type="http://schemas.openxmlformats.org/officeDocument/2006/relationships/oleObject" Target="embeddings/oleObject27.bin"/><Relationship Id="rId67" Type="http://schemas.openxmlformats.org/officeDocument/2006/relationships/oleObject" Target="embeddings/oleObject26.bin"/><Relationship Id="rId66" Type="http://schemas.openxmlformats.org/officeDocument/2006/relationships/image" Target="media/image26.wmf"/><Relationship Id="rId65" Type="http://schemas.openxmlformats.org/officeDocument/2006/relationships/oleObject" Target="embeddings/oleObject25.bin"/><Relationship Id="rId64" Type="http://schemas.openxmlformats.org/officeDocument/2006/relationships/image" Target="media/image25.wmf"/><Relationship Id="rId63" Type="http://schemas.openxmlformats.org/officeDocument/2006/relationships/oleObject" Target="embeddings/oleObject24.bin"/><Relationship Id="rId62" Type="http://schemas.openxmlformats.org/officeDocument/2006/relationships/image" Target="media/image24.wmf"/><Relationship Id="rId61" Type="http://schemas.openxmlformats.org/officeDocument/2006/relationships/oleObject" Target="embeddings/oleObject23.bin"/><Relationship Id="rId60" Type="http://schemas.openxmlformats.org/officeDocument/2006/relationships/image" Target="media/image23.wmf"/><Relationship Id="rId6" Type="http://schemas.openxmlformats.org/officeDocument/2006/relationships/header" Target="header3.xml"/><Relationship Id="rId59" Type="http://schemas.openxmlformats.org/officeDocument/2006/relationships/oleObject" Target="embeddings/oleObject22.bin"/><Relationship Id="rId58" Type="http://schemas.openxmlformats.org/officeDocument/2006/relationships/image" Target="media/image22.wmf"/><Relationship Id="rId57" Type="http://schemas.openxmlformats.org/officeDocument/2006/relationships/oleObject" Target="embeddings/oleObject21.bin"/><Relationship Id="rId56" Type="http://schemas.openxmlformats.org/officeDocument/2006/relationships/image" Target="media/image21.wmf"/><Relationship Id="rId55" Type="http://schemas.openxmlformats.org/officeDocument/2006/relationships/oleObject" Target="embeddings/oleObject20.bin"/><Relationship Id="rId54" Type="http://schemas.openxmlformats.org/officeDocument/2006/relationships/image" Target="media/image20.wmf"/><Relationship Id="rId53" Type="http://schemas.openxmlformats.org/officeDocument/2006/relationships/oleObject" Target="embeddings/oleObject19.bin"/><Relationship Id="rId52" Type="http://schemas.openxmlformats.org/officeDocument/2006/relationships/image" Target="media/image19.wmf"/><Relationship Id="rId51" Type="http://schemas.openxmlformats.org/officeDocument/2006/relationships/oleObject" Target="embeddings/oleObject18.bin"/><Relationship Id="rId50" Type="http://schemas.openxmlformats.org/officeDocument/2006/relationships/image" Target="media/image18.wmf"/><Relationship Id="rId5" Type="http://schemas.openxmlformats.org/officeDocument/2006/relationships/header" Target="header2.xml"/><Relationship Id="rId49" Type="http://schemas.openxmlformats.org/officeDocument/2006/relationships/oleObject" Target="embeddings/oleObject17.bin"/><Relationship Id="rId48" Type="http://schemas.openxmlformats.org/officeDocument/2006/relationships/image" Target="media/image17.wmf"/><Relationship Id="rId47" Type="http://schemas.openxmlformats.org/officeDocument/2006/relationships/oleObject" Target="embeddings/oleObject16.bin"/><Relationship Id="rId46" Type="http://schemas.openxmlformats.org/officeDocument/2006/relationships/image" Target="media/image16.wmf"/><Relationship Id="rId45" Type="http://schemas.openxmlformats.org/officeDocument/2006/relationships/oleObject" Target="embeddings/oleObject15.bin"/><Relationship Id="rId44" Type="http://schemas.openxmlformats.org/officeDocument/2006/relationships/image" Target="media/image15.wmf"/><Relationship Id="rId43" Type="http://schemas.openxmlformats.org/officeDocument/2006/relationships/oleObject" Target="embeddings/oleObject14.bin"/><Relationship Id="rId42" Type="http://schemas.openxmlformats.org/officeDocument/2006/relationships/oleObject" Target="embeddings/oleObject13.bin"/><Relationship Id="rId41" Type="http://schemas.openxmlformats.org/officeDocument/2006/relationships/image" Target="media/image14.wmf"/><Relationship Id="rId40" Type="http://schemas.openxmlformats.org/officeDocument/2006/relationships/oleObject" Target="embeddings/oleObject12.bin"/><Relationship Id="rId4" Type="http://schemas.openxmlformats.org/officeDocument/2006/relationships/footer" Target="footer1.xml"/><Relationship Id="rId39" Type="http://schemas.openxmlformats.org/officeDocument/2006/relationships/image" Target="media/image13.wmf"/><Relationship Id="rId38" Type="http://schemas.openxmlformats.org/officeDocument/2006/relationships/oleObject" Target="embeddings/oleObject11.bin"/><Relationship Id="rId37" Type="http://schemas.openxmlformats.org/officeDocument/2006/relationships/image" Target="media/image12.wmf"/><Relationship Id="rId36" Type="http://schemas.openxmlformats.org/officeDocument/2006/relationships/oleObject" Target="embeddings/oleObject10.bin"/><Relationship Id="rId35" Type="http://schemas.openxmlformats.org/officeDocument/2006/relationships/image" Target="media/image11.wmf"/><Relationship Id="rId34" Type="http://schemas.openxmlformats.org/officeDocument/2006/relationships/oleObject" Target="embeddings/oleObject9.bin"/><Relationship Id="rId33" Type="http://schemas.openxmlformats.org/officeDocument/2006/relationships/image" Target="media/image10.wmf"/><Relationship Id="rId32" Type="http://schemas.openxmlformats.org/officeDocument/2006/relationships/oleObject" Target="embeddings/oleObject8.bin"/><Relationship Id="rId31" Type="http://schemas.openxmlformats.org/officeDocument/2006/relationships/image" Target="media/image9.wmf"/><Relationship Id="rId30" Type="http://schemas.openxmlformats.org/officeDocument/2006/relationships/oleObject" Target="embeddings/oleObject7.bin"/><Relationship Id="rId3" Type="http://schemas.openxmlformats.org/officeDocument/2006/relationships/header" Target="header1.xml"/><Relationship Id="rId29" Type="http://schemas.openxmlformats.org/officeDocument/2006/relationships/image" Target="media/image8.wmf"/><Relationship Id="rId28" Type="http://schemas.openxmlformats.org/officeDocument/2006/relationships/oleObject" Target="embeddings/oleObject6.bin"/><Relationship Id="rId27" Type="http://schemas.openxmlformats.org/officeDocument/2006/relationships/image" Target="media/image7.wmf"/><Relationship Id="rId26" Type="http://schemas.openxmlformats.org/officeDocument/2006/relationships/oleObject" Target="embeddings/oleObject5.bin"/><Relationship Id="rId25" Type="http://schemas.openxmlformats.org/officeDocument/2006/relationships/image" Target="media/image6.wmf"/><Relationship Id="rId24" Type="http://schemas.openxmlformats.org/officeDocument/2006/relationships/oleObject" Target="embeddings/oleObject4.bin"/><Relationship Id="rId23" Type="http://schemas.openxmlformats.org/officeDocument/2006/relationships/image" Target="media/image5.png"/><Relationship Id="rId22" Type="http://schemas.openxmlformats.org/officeDocument/2006/relationships/image" Target="media/image4.wmf"/><Relationship Id="rId21" Type="http://schemas.openxmlformats.org/officeDocument/2006/relationships/oleObject" Target="embeddings/oleObject3.bin"/><Relationship Id="rId20" Type="http://schemas.openxmlformats.org/officeDocument/2006/relationships/image" Target="media/image3.wmf"/><Relationship Id="rId2" Type="http://schemas.openxmlformats.org/officeDocument/2006/relationships/settings" Target="settings.xml"/><Relationship Id="rId19" Type="http://schemas.openxmlformats.org/officeDocument/2006/relationships/oleObject" Target="embeddings/oleObject2.bin"/><Relationship Id="rId18" Type="http://schemas.openxmlformats.org/officeDocument/2006/relationships/image" Target="media/image2.wmf"/><Relationship Id="rId17" Type="http://schemas.openxmlformats.org/officeDocument/2006/relationships/oleObject" Target="embeddings/oleObject1.bin"/><Relationship Id="rId16" Type="http://schemas.openxmlformats.org/officeDocument/2006/relationships/image" Target="media/image1.png"/><Relationship Id="rId150" Type="http://schemas.openxmlformats.org/officeDocument/2006/relationships/fontTable" Target="fontTable.xml"/><Relationship Id="rId15" Type="http://schemas.openxmlformats.org/officeDocument/2006/relationships/theme" Target="theme/theme1.xml"/><Relationship Id="rId149" Type="http://schemas.openxmlformats.org/officeDocument/2006/relationships/customXml" Target="../customXml/item2.xml"/><Relationship Id="rId148" Type="http://schemas.openxmlformats.org/officeDocument/2006/relationships/numbering" Target="numbering.xml"/><Relationship Id="rId147" Type="http://schemas.openxmlformats.org/officeDocument/2006/relationships/customXml" Target="../customXml/item1.xml"/><Relationship Id="rId146" Type="http://schemas.openxmlformats.org/officeDocument/2006/relationships/image" Target="media/image61.wmf"/><Relationship Id="rId145" Type="http://schemas.openxmlformats.org/officeDocument/2006/relationships/oleObject" Target="embeddings/oleObject70.bin"/><Relationship Id="rId144" Type="http://schemas.openxmlformats.org/officeDocument/2006/relationships/image" Target="media/image60.jpeg"/><Relationship Id="rId143" Type="http://schemas.openxmlformats.org/officeDocument/2006/relationships/oleObject" Target="embeddings/oleObject69.bin"/><Relationship Id="rId142" Type="http://schemas.openxmlformats.org/officeDocument/2006/relationships/oleObject" Target="embeddings/oleObject68.bin"/><Relationship Id="rId141" Type="http://schemas.openxmlformats.org/officeDocument/2006/relationships/oleObject" Target="embeddings/oleObject67.bin"/><Relationship Id="rId140" Type="http://schemas.openxmlformats.org/officeDocument/2006/relationships/image" Target="media/image59.wmf"/><Relationship Id="rId14" Type="http://schemas.openxmlformats.org/officeDocument/2006/relationships/footer" Target="footer6.xml"/><Relationship Id="rId139" Type="http://schemas.openxmlformats.org/officeDocument/2006/relationships/oleObject" Target="embeddings/oleObject66.bin"/><Relationship Id="rId138" Type="http://schemas.openxmlformats.org/officeDocument/2006/relationships/image" Target="media/image58.wmf"/><Relationship Id="rId137" Type="http://schemas.openxmlformats.org/officeDocument/2006/relationships/oleObject" Target="embeddings/oleObject65.bin"/><Relationship Id="rId136" Type="http://schemas.openxmlformats.org/officeDocument/2006/relationships/image" Target="media/image57.wmf"/><Relationship Id="rId135" Type="http://schemas.openxmlformats.org/officeDocument/2006/relationships/oleObject" Target="embeddings/oleObject64.bin"/><Relationship Id="rId134" Type="http://schemas.openxmlformats.org/officeDocument/2006/relationships/oleObject" Target="embeddings/oleObject63.bin"/><Relationship Id="rId133" Type="http://schemas.openxmlformats.org/officeDocument/2006/relationships/image" Target="media/image56.wmf"/><Relationship Id="rId132" Type="http://schemas.openxmlformats.org/officeDocument/2006/relationships/oleObject" Target="embeddings/oleObject62.bin"/><Relationship Id="rId131" Type="http://schemas.openxmlformats.org/officeDocument/2006/relationships/image" Target="media/image55.wmf"/><Relationship Id="rId130" Type="http://schemas.openxmlformats.org/officeDocument/2006/relationships/oleObject" Target="embeddings/oleObject61.bin"/><Relationship Id="rId13" Type="http://schemas.openxmlformats.org/officeDocument/2006/relationships/footer" Target="footer5.xml"/><Relationship Id="rId129" Type="http://schemas.openxmlformats.org/officeDocument/2006/relationships/image" Target="media/image54.wmf"/><Relationship Id="rId128" Type="http://schemas.openxmlformats.org/officeDocument/2006/relationships/oleObject" Target="embeddings/oleObject60.bin"/><Relationship Id="rId127" Type="http://schemas.openxmlformats.org/officeDocument/2006/relationships/oleObject" Target="embeddings/oleObject59.bin"/><Relationship Id="rId126" Type="http://schemas.openxmlformats.org/officeDocument/2006/relationships/image" Target="media/image53.wmf"/><Relationship Id="rId125" Type="http://schemas.openxmlformats.org/officeDocument/2006/relationships/oleObject" Target="embeddings/oleObject58.bin"/><Relationship Id="rId124" Type="http://schemas.openxmlformats.org/officeDocument/2006/relationships/image" Target="media/image52.wmf"/><Relationship Id="rId123" Type="http://schemas.openxmlformats.org/officeDocument/2006/relationships/oleObject" Target="embeddings/oleObject57.bin"/><Relationship Id="rId122" Type="http://schemas.openxmlformats.org/officeDocument/2006/relationships/image" Target="media/image51.wmf"/><Relationship Id="rId121" Type="http://schemas.openxmlformats.org/officeDocument/2006/relationships/oleObject" Target="embeddings/oleObject56.bin"/><Relationship Id="rId120" Type="http://schemas.openxmlformats.org/officeDocument/2006/relationships/image" Target="media/image50.wmf"/><Relationship Id="rId12" Type="http://schemas.openxmlformats.org/officeDocument/2006/relationships/header" Target="header6.xml"/><Relationship Id="rId119" Type="http://schemas.openxmlformats.org/officeDocument/2006/relationships/oleObject" Target="embeddings/oleObject55.bin"/><Relationship Id="rId118" Type="http://schemas.openxmlformats.org/officeDocument/2006/relationships/image" Target="media/image49.wmf"/><Relationship Id="rId117" Type="http://schemas.openxmlformats.org/officeDocument/2006/relationships/oleObject" Target="embeddings/oleObject54.bin"/><Relationship Id="rId116" Type="http://schemas.openxmlformats.org/officeDocument/2006/relationships/oleObject" Target="embeddings/oleObject53.bin"/><Relationship Id="rId115" Type="http://schemas.openxmlformats.org/officeDocument/2006/relationships/oleObject" Target="embeddings/oleObject52.bin"/><Relationship Id="rId114" Type="http://schemas.openxmlformats.org/officeDocument/2006/relationships/oleObject" Target="embeddings/oleObject51.bin"/><Relationship Id="rId113" Type="http://schemas.openxmlformats.org/officeDocument/2006/relationships/oleObject" Target="embeddings/oleObject50.bin"/><Relationship Id="rId112" Type="http://schemas.openxmlformats.org/officeDocument/2006/relationships/oleObject" Target="embeddings/oleObject49.bin"/><Relationship Id="rId111" Type="http://schemas.openxmlformats.org/officeDocument/2006/relationships/oleObject" Target="embeddings/oleObject48.bin"/><Relationship Id="rId110" Type="http://schemas.openxmlformats.org/officeDocument/2006/relationships/oleObject" Target="embeddings/oleObject47.bin"/><Relationship Id="rId11" Type="http://schemas.openxmlformats.org/officeDocument/2006/relationships/footer" Target="footer4.xml"/><Relationship Id="rId109" Type="http://schemas.openxmlformats.org/officeDocument/2006/relationships/oleObject" Target="embeddings/oleObject46.bin"/><Relationship Id="rId108" Type="http://schemas.openxmlformats.org/officeDocument/2006/relationships/image" Target="media/image48.wmf"/><Relationship Id="rId107" Type="http://schemas.openxmlformats.org/officeDocument/2006/relationships/oleObject" Target="embeddings/oleObject45.bin"/><Relationship Id="rId106" Type="http://schemas.openxmlformats.org/officeDocument/2006/relationships/oleObject" Target="embeddings/oleObject44.bin"/><Relationship Id="rId105" Type="http://schemas.openxmlformats.org/officeDocument/2006/relationships/oleObject" Target="embeddings/oleObject43.bin"/><Relationship Id="rId104" Type="http://schemas.openxmlformats.org/officeDocument/2006/relationships/oleObject" Target="embeddings/oleObject42.bin"/><Relationship Id="rId103" Type="http://schemas.openxmlformats.org/officeDocument/2006/relationships/oleObject" Target="embeddings/oleObject41.bin"/><Relationship Id="rId102" Type="http://schemas.openxmlformats.org/officeDocument/2006/relationships/oleObject" Target="embeddings/oleObject40.bin"/><Relationship Id="rId101" Type="http://schemas.openxmlformats.org/officeDocument/2006/relationships/image" Target="media/image47.wmf"/><Relationship Id="rId100" Type="http://schemas.openxmlformats.org/officeDocument/2006/relationships/oleObject" Target="embeddings/oleObject39.bin"/><Relationship Id="rId10" Type="http://schemas.openxmlformats.org/officeDocument/2006/relationships/header" Target="head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4F74E59-C02D-4193-8160-5AF4E97BF3D4}">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30</Pages>
  <Words>5658</Words>
  <Characters>6657</Characters>
  <Lines>141</Lines>
  <Paragraphs>39</Paragraphs>
  <TotalTime>14</TotalTime>
  <ScaleCrop>false</ScaleCrop>
  <LinksUpToDate>false</LinksUpToDate>
  <CharactersWithSpaces>7542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2025-10-22T12:12:00Z</dcterms:created>
  <dc:creator>Chad</dc:creator>
  <cp:lastModifiedBy>黄徐岳</cp:lastModifiedBy>
  <cp:lastPrinted>2023-06-03T03:31:00Z</cp:lastPrinted>
  <dcterms:modified xsi:type="dcterms:W3CDTF">2026-07-27T02:18:56Z</dcterms:modified>
  <dc:title>JJF</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2052-12.1.0.26895</vt:lpwstr>
  </property>
  <property fmtid="{D5CDD505-2E9C-101B-9397-08002B2CF9AE}" pid="4" name="ICV">
    <vt:lpwstr>8A389BF9C2144628831CA33F01096140_13</vt:lpwstr>
  </property>
  <property fmtid="{D5CDD505-2E9C-101B-9397-08002B2CF9AE}" pid="5" name="KSOTemplateDocerSaveRecord">
    <vt:lpwstr>eyJoZGlkIjoiZDM1NzEyYWFlYjQzYmVmMzgxY2Q3Yzk2N2Y3ODg1YWMiLCJ1c2VySWQiOiI4ODE5OTI5MzkifQ==</vt:lpwstr>
  </property>
</Properties>
</file>